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93" w:rsidRPr="00843830" w:rsidRDefault="00E01493" w:rsidP="00E01493">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MEMORANDUM FOR THE RECORD (“MFR”</w:t>
      </w:r>
      <w:r w:rsidRPr="00843830">
        <w:rPr>
          <w:rFonts w:ascii="Times New Roman" w:hAnsi="Times New Roman"/>
          <w:b/>
          <w:color w:val="000000"/>
          <w:sz w:val="24"/>
          <w:szCs w:val="24"/>
        </w:rPr>
        <w:t>)</w:t>
      </w:r>
    </w:p>
    <w:p w:rsidR="00E01493" w:rsidRPr="00843830" w:rsidRDefault="00E01493" w:rsidP="00E01493">
      <w:pPr>
        <w:autoSpaceDE w:val="0"/>
        <w:autoSpaceDN w:val="0"/>
        <w:adjustRightInd w:val="0"/>
        <w:spacing w:after="0" w:line="240" w:lineRule="auto"/>
        <w:jc w:val="center"/>
        <w:rPr>
          <w:rFonts w:ascii="Times New Roman" w:hAnsi="Times New Roman"/>
          <w:color w:val="000000"/>
          <w:sz w:val="24"/>
          <w:szCs w:val="24"/>
        </w:rPr>
      </w:pP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Event</w:t>
      </w:r>
      <w:r w:rsidRPr="00843830">
        <w:rPr>
          <w:rFonts w:ascii="Times New Roman" w:hAnsi="Times New Roman"/>
          <w:color w:val="000000"/>
          <w:sz w:val="24"/>
          <w:szCs w:val="24"/>
        </w:rPr>
        <w:t xml:space="preserve">: </w:t>
      </w:r>
      <w:r>
        <w:rPr>
          <w:rFonts w:ascii="Times New Roman" w:hAnsi="Times New Roman"/>
          <w:color w:val="000000"/>
          <w:sz w:val="24"/>
          <w:szCs w:val="24"/>
        </w:rPr>
        <w:t>Interview with Jamie Mai and Ben Hockett of Cornwall Capital, Inc.</w:t>
      </w: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Type of Event</w:t>
      </w:r>
      <w:r w:rsidRPr="00843830">
        <w:rPr>
          <w:rFonts w:ascii="Times New Roman" w:hAnsi="Times New Roman"/>
          <w:color w:val="000000"/>
          <w:sz w:val="24"/>
          <w:szCs w:val="24"/>
        </w:rPr>
        <w:t>: Interview</w:t>
      </w: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Date of Event</w:t>
      </w:r>
      <w:r w:rsidRPr="00843830">
        <w:rPr>
          <w:rFonts w:ascii="Times New Roman" w:hAnsi="Times New Roman"/>
          <w:color w:val="000000"/>
          <w:sz w:val="24"/>
          <w:szCs w:val="24"/>
        </w:rPr>
        <w:t xml:space="preserve">: </w:t>
      </w:r>
      <w:r>
        <w:rPr>
          <w:rFonts w:ascii="Times New Roman" w:hAnsi="Times New Roman"/>
          <w:color w:val="000000"/>
          <w:sz w:val="24"/>
          <w:szCs w:val="24"/>
        </w:rPr>
        <w:t>April 22, 2010</w:t>
      </w: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Team Leader</w:t>
      </w:r>
      <w:r w:rsidRPr="00843830">
        <w:rPr>
          <w:rFonts w:ascii="Times New Roman" w:hAnsi="Times New Roman"/>
          <w:color w:val="000000"/>
          <w:sz w:val="24"/>
          <w:szCs w:val="24"/>
        </w:rPr>
        <w:t xml:space="preserve">: </w:t>
      </w:r>
      <w:r>
        <w:rPr>
          <w:rFonts w:ascii="Times New Roman" w:hAnsi="Times New Roman"/>
          <w:color w:val="000000"/>
          <w:sz w:val="24"/>
          <w:szCs w:val="24"/>
        </w:rPr>
        <w:t>Dixie Noonan</w:t>
      </w: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p>
    <w:p w:rsidR="00E01493" w:rsidRDefault="00E01493" w:rsidP="00E01493">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Location</w:t>
      </w:r>
      <w:r w:rsidRPr="00843830">
        <w:rPr>
          <w:rFonts w:ascii="Times New Roman" w:hAnsi="Times New Roman"/>
          <w:color w:val="000000"/>
          <w:sz w:val="24"/>
          <w:szCs w:val="24"/>
        </w:rPr>
        <w:t xml:space="preserve">: </w:t>
      </w:r>
      <w:r>
        <w:rPr>
          <w:rFonts w:ascii="Times New Roman" w:hAnsi="Times New Roman"/>
          <w:color w:val="000000"/>
          <w:sz w:val="24"/>
          <w:szCs w:val="24"/>
        </w:rPr>
        <w:t>Offices of Cornwall Capital, 745 Fifth Avenue, 7</w:t>
      </w:r>
      <w:r w:rsidRPr="00E01493">
        <w:rPr>
          <w:rFonts w:ascii="Times New Roman" w:hAnsi="Times New Roman"/>
          <w:color w:val="000000"/>
          <w:sz w:val="24"/>
          <w:szCs w:val="24"/>
          <w:vertAlign w:val="superscript"/>
        </w:rPr>
        <w:t>th</w:t>
      </w:r>
      <w:r>
        <w:rPr>
          <w:rFonts w:ascii="Times New Roman" w:hAnsi="Times New Roman"/>
          <w:color w:val="000000"/>
          <w:sz w:val="24"/>
          <w:szCs w:val="24"/>
        </w:rPr>
        <w:t xml:space="preserve"> Floor, New York, NY  10151</w:t>
      </w: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p>
    <w:p w:rsidR="00E01493" w:rsidRDefault="00E01493" w:rsidP="00E01493">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Participants - Non-Commission</w:t>
      </w:r>
      <w:r w:rsidRPr="00843830">
        <w:rPr>
          <w:rFonts w:ascii="Times New Roman" w:hAnsi="Times New Roman"/>
          <w:color w:val="000000"/>
          <w:sz w:val="24"/>
          <w:szCs w:val="24"/>
        </w:rPr>
        <w:t xml:space="preserve">: </w:t>
      </w:r>
      <w:r>
        <w:rPr>
          <w:rFonts w:ascii="Times New Roman" w:hAnsi="Times New Roman"/>
          <w:color w:val="000000"/>
          <w:sz w:val="24"/>
          <w:szCs w:val="24"/>
        </w:rPr>
        <w:t xml:space="preserve">Jamie Mai and Ben Hockett of Cornwall Capital, Inc.; William H. </w:t>
      </w:r>
      <w:proofErr w:type="spellStart"/>
      <w:r>
        <w:rPr>
          <w:rFonts w:ascii="Times New Roman" w:hAnsi="Times New Roman"/>
          <w:color w:val="000000"/>
          <w:sz w:val="24"/>
          <w:szCs w:val="24"/>
        </w:rPr>
        <w:t>Gussman</w:t>
      </w:r>
      <w:proofErr w:type="spellEnd"/>
      <w:r>
        <w:rPr>
          <w:rFonts w:ascii="Times New Roman" w:hAnsi="Times New Roman"/>
          <w:color w:val="000000"/>
          <w:sz w:val="24"/>
          <w:szCs w:val="24"/>
        </w:rPr>
        <w:t xml:space="preserve">, Jr. of Schulte Roth &amp; </w:t>
      </w:r>
      <w:proofErr w:type="spellStart"/>
      <w:r>
        <w:rPr>
          <w:rFonts w:ascii="Times New Roman" w:hAnsi="Times New Roman"/>
          <w:color w:val="000000"/>
          <w:sz w:val="24"/>
          <w:szCs w:val="24"/>
        </w:rPr>
        <w:t>Zabel</w:t>
      </w:r>
      <w:proofErr w:type="spellEnd"/>
      <w:r>
        <w:rPr>
          <w:rFonts w:ascii="Times New Roman" w:hAnsi="Times New Roman"/>
          <w:color w:val="000000"/>
          <w:sz w:val="24"/>
          <w:szCs w:val="24"/>
        </w:rPr>
        <w:t xml:space="preserve"> LLP</w:t>
      </w: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Participants - Commission</w:t>
      </w:r>
      <w:r w:rsidRPr="00843830">
        <w:rPr>
          <w:rFonts w:ascii="Times New Roman" w:hAnsi="Times New Roman"/>
          <w:color w:val="000000"/>
          <w:sz w:val="24"/>
          <w:szCs w:val="24"/>
        </w:rPr>
        <w:t xml:space="preserve">: </w:t>
      </w:r>
      <w:r>
        <w:rPr>
          <w:rFonts w:ascii="Times New Roman" w:hAnsi="Times New Roman"/>
          <w:color w:val="000000"/>
          <w:sz w:val="24"/>
          <w:szCs w:val="24"/>
        </w:rPr>
        <w:t>Dixie Noonan</w:t>
      </w: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u w:val="single"/>
        </w:rPr>
      </w:pP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MFR Prepared by</w:t>
      </w:r>
      <w:r w:rsidRPr="00843830">
        <w:rPr>
          <w:rFonts w:ascii="Times New Roman" w:hAnsi="Times New Roman"/>
          <w:color w:val="000000"/>
          <w:sz w:val="24"/>
          <w:szCs w:val="24"/>
        </w:rPr>
        <w:t xml:space="preserve">: </w:t>
      </w:r>
      <w:r>
        <w:rPr>
          <w:rFonts w:ascii="Times New Roman" w:hAnsi="Times New Roman"/>
          <w:color w:val="000000"/>
          <w:sz w:val="24"/>
          <w:szCs w:val="24"/>
        </w:rPr>
        <w:t>Dixie Noonan</w:t>
      </w:r>
      <w:r w:rsidRPr="00843830">
        <w:rPr>
          <w:rFonts w:ascii="Times New Roman" w:hAnsi="Times New Roman"/>
          <w:color w:val="000000"/>
          <w:sz w:val="24"/>
          <w:szCs w:val="24"/>
        </w:rPr>
        <w:t xml:space="preserve"> </w:t>
      </w:r>
    </w:p>
    <w:p w:rsidR="00E01493" w:rsidRPr="00843830" w:rsidRDefault="00E01493" w:rsidP="00E01493">
      <w:pPr>
        <w:autoSpaceDE w:val="0"/>
        <w:autoSpaceDN w:val="0"/>
        <w:adjustRightInd w:val="0"/>
        <w:spacing w:after="0" w:line="240" w:lineRule="auto"/>
        <w:rPr>
          <w:rFonts w:ascii="Times New Roman" w:hAnsi="Times New Roman"/>
          <w:color w:val="000000"/>
          <w:sz w:val="24"/>
          <w:szCs w:val="24"/>
        </w:rPr>
      </w:pPr>
    </w:p>
    <w:p w:rsidR="00E01493" w:rsidRDefault="00E01493" w:rsidP="00E01493">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Date of MFR</w:t>
      </w:r>
      <w:r w:rsidRPr="00843830">
        <w:rPr>
          <w:rFonts w:ascii="Times New Roman" w:hAnsi="Times New Roman"/>
          <w:color w:val="000000"/>
          <w:sz w:val="24"/>
          <w:szCs w:val="24"/>
        </w:rPr>
        <w:t xml:space="preserve">: </w:t>
      </w:r>
      <w:r>
        <w:rPr>
          <w:rFonts w:ascii="Times New Roman" w:hAnsi="Times New Roman"/>
          <w:color w:val="000000"/>
          <w:sz w:val="24"/>
          <w:szCs w:val="24"/>
        </w:rPr>
        <w:t>April 27, 2010</w:t>
      </w:r>
    </w:p>
    <w:p w:rsidR="001911C9" w:rsidRDefault="001911C9" w:rsidP="00E01493">
      <w:pPr>
        <w:autoSpaceDE w:val="0"/>
        <w:autoSpaceDN w:val="0"/>
        <w:adjustRightInd w:val="0"/>
        <w:spacing w:after="0" w:line="240" w:lineRule="auto"/>
        <w:rPr>
          <w:rFonts w:ascii="Times New Roman" w:hAnsi="Times New Roman"/>
          <w:color w:val="000000"/>
          <w:sz w:val="24"/>
          <w:szCs w:val="24"/>
        </w:rPr>
      </w:pPr>
    </w:p>
    <w:p w:rsidR="001911C9" w:rsidRDefault="001911C9" w:rsidP="00E01493">
      <w:pPr>
        <w:autoSpaceDE w:val="0"/>
        <w:autoSpaceDN w:val="0"/>
        <w:adjustRightInd w:val="0"/>
        <w:spacing w:after="0" w:line="240" w:lineRule="auto"/>
        <w:rPr>
          <w:rFonts w:ascii="Times New Roman" w:hAnsi="Times New Roman"/>
          <w:color w:val="000000"/>
          <w:sz w:val="24"/>
          <w:szCs w:val="24"/>
        </w:rPr>
      </w:pPr>
      <w:r w:rsidRPr="001911C9">
        <w:rPr>
          <w:rFonts w:ascii="Times New Roman" w:hAnsi="Times New Roman"/>
          <w:color w:val="000000"/>
          <w:sz w:val="24"/>
          <w:szCs w:val="24"/>
          <w:u w:val="single"/>
        </w:rPr>
        <w:t>Date Reviewed</w:t>
      </w:r>
      <w:r>
        <w:rPr>
          <w:rFonts w:ascii="Times New Roman" w:hAnsi="Times New Roman"/>
          <w:color w:val="000000"/>
          <w:sz w:val="24"/>
          <w:szCs w:val="24"/>
        </w:rPr>
        <w:t>: December 2, 2010</w:t>
      </w:r>
    </w:p>
    <w:p w:rsidR="001911C9" w:rsidRPr="00843830" w:rsidRDefault="001911C9" w:rsidP="00E01493">
      <w:pPr>
        <w:autoSpaceDE w:val="0"/>
        <w:autoSpaceDN w:val="0"/>
        <w:adjustRightInd w:val="0"/>
        <w:spacing w:after="0" w:line="240" w:lineRule="auto"/>
        <w:rPr>
          <w:rFonts w:ascii="Times New Roman" w:hAnsi="Times New Roman"/>
          <w:color w:val="000000"/>
          <w:sz w:val="24"/>
          <w:szCs w:val="24"/>
        </w:rPr>
      </w:pPr>
    </w:p>
    <w:p w:rsidR="00E01493" w:rsidRDefault="00E01493" w:rsidP="00E01493">
      <w:pPr>
        <w:autoSpaceDE w:val="0"/>
        <w:autoSpaceDN w:val="0"/>
        <w:adjustRightInd w:val="0"/>
        <w:spacing w:after="0" w:line="240" w:lineRule="auto"/>
        <w:rPr>
          <w:rFonts w:ascii="Times New Roman" w:hAnsi="Times New Roman"/>
          <w:color w:val="000000"/>
          <w:sz w:val="24"/>
          <w:szCs w:val="24"/>
        </w:rPr>
      </w:pPr>
    </w:p>
    <w:p w:rsidR="00C12594" w:rsidRDefault="00C12594" w:rsidP="00C12594">
      <w:pPr>
        <w:spacing w:after="0" w:line="240" w:lineRule="auto"/>
        <w:rPr>
          <w:rFonts w:asciiTheme="majorHAnsi" w:hAnsiTheme="majorHAnsi"/>
          <w:color w:val="FF0000"/>
        </w:rPr>
      </w:pPr>
      <w:r>
        <w:rPr>
          <w:rFonts w:asciiTheme="majorHAnsi" w:hAnsiTheme="majorHAnsi"/>
          <w:b/>
          <w:color w:val="FF0000"/>
        </w:rPr>
        <w:t xml:space="preserve">Note:  This is a summary of the interview and the dialogue is paraphrased. It is </w:t>
      </w:r>
      <w:r>
        <w:rPr>
          <w:rFonts w:asciiTheme="majorHAnsi" w:hAnsiTheme="majorHAnsi"/>
          <w:b/>
          <w:color w:val="FF0000"/>
          <w:u w:val="single"/>
        </w:rPr>
        <w:t>not a transcript</w:t>
      </w:r>
      <w:r>
        <w:rPr>
          <w:rFonts w:asciiTheme="majorHAnsi" w:hAnsiTheme="majorHAnsi"/>
          <w:b/>
          <w:color w:val="FF0000"/>
        </w:rPr>
        <w:t xml:space="preserve"> and should not be quoted as such.</w:t>
      </w:r>
    </w:p>
    <w:p w:rsidR="00C12594" w:rsidRDefault="00C12594" w:rsidP="00E01493">
      <w:pPr>
        <w:autoSpaceDE w:val="0"/>
        <w:autoSpaceDN w:val="0"/>
        <w:adjustRightInd w:val="0"/>
        <w:spacing w:after="0" w:line="240" w:lineRule="auto"/>
        <w:rPr>
          <w:rFonts w:ascii="Times New Roman" w:hAnsi="Times New Roman"/>
          <w:color w:val="000000"/>
          <w:sz w:val="24"/>
          <w:szCs w:val="24"/>
        </w:rPr>
      </w:pPr>
    </w:p>
    <w:p w:rsidR="00C12594" w:rsidRPr="00843830" w:rsidRDefault="00C12594" w:rsidP="00E01493">
      <w:pPr>
        <w:autoSpaceDE w:val="0"/>
        <w:autoSpaceDN w:val="0"/>
        <w:adjustRightInd w:val="0"/>
        <w:spacing w:after="0" w:line="240" w:lineRule="auto"/>
        <w:rPr>
          <w:rFonts w:ascii="Times New Roman" w:hAnsi="Times New Roman"/>
          <w:color w:val="000000"/>
          <w:sz w:val="24"/>
          <w:szCs w:val="24"/>
        </w:rPr>
      </w:pPr>
    </w:p>
    <w:p w:rsidR="003102AA" w:rsidRPr="00617FEB" w:rsidRDefault="00E01493" w:rsidP="00617FEB">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Summary of the Interview or Submission</w:t>
      </w:r>
      <w:r w:rsidRPr="00843830">
        <w:rPr>
          <w:rFonts w:ascii="Times New Roman" w:hAnsi="Times New Roman"/>
          <w:color w:val="000000"/>
          <w:sz w:val="24"/>
          <w:szCs w:val="24"/>
        </w:rPr>
        <w:t xml:space="preserve">:  </w:t>
      </w:r>
    </w:p>
    <w:p w:rsidR="00617FEB" w:rsidRDefault="00617FEB">
      <w:pPr>
        <w:rPr>
          <w:rFonts w:ascii="Times New Roman" w:hAnsi="Times New Roman"/>
          <w:sz w:val="24"/>
          <w:szCs w:val="24"/>
        </w:rPr>
      </w:pPr>
    </w:p>
    <w:p w:rsidR="00D92EA1" w:rsidRDefault="00455DC3">
      <w:pPr>
        <w:rPr>
          <w:rFonts w:ascii="Times New Roman" w:hAnsi="Times New Roman"/>
          <w:sz w:val="24"/>
          <w:szCs w:val="24"/>
        </w:rPr>
      </w:pPr>
      <w:r>
        <w:rPr>
          <w:rFonts w:ascii="Times New Roman" w:hAnsi="Times New Roman"/>
          <w:sz w:val="24"/>
          <w:szCs w:val="24"/>
        </w:rPr>
        <w:t>*</w:t>
      </w:r>
      <w:r w:rsidR="00D92EA1">
        <w:rPr>
          <w:rFonts w:ascii="Times New Roman" w:hAnsi="Times New Roman"/>
          <w:sz w:val="24"/>
          <w:szCs w:val="24"/>
        </w:rPr>
        <w:t xml:space="preserve">Jamie recommended the book, “How I Caused the Credit Crisis,” written by a former Goldman trader, which is currently available only in the Kindle edition. </w:t>
      </w:r>
    </w:p>
    <w:p w:rsidR="00617FEB" w:rsidRDefault="00617FEB">
      <w:pPr>
        <w:rPr>
          <w:rFonts w:ascii="Times New Roman" w:hAnsi="Times New Roman"/>
          <w:sz w:val="24"/>
          <w:szCs w:val="24"/>
        </w:rPr>
      </w:pPr>
      <w:r>
        <w:rPr>
          <w:rFonts w:ascii="Times New Roman" w:hAnsi="Times New Roman"/>
          <w:sz w:val="24"/>
          <w:szCs w:val="24"/>
        </w:rPr>
        <w:t xml:space="preserve">The October 6, 2006 </w:t>
      </w:r>
      <w:r w:rsidRPr="00617FEB">
        <w:rPr>
          <w:rFonts w:ascii="Times New Roman" w:hAnsi="Times New Roman"/>
          <w:i/>
          <w:sz w:val="24"/>
          <w:szCs w:val="24"/>
        </w:rPr>
        <w:t>Grant’s Interest Rate Observer</w:t>
      </w:r>
      <w:r>
        <w:rPr>
          <w:rFonts w:ascii="Times New Roman" w:hAnsi="Times New Roman"/>
          <w:sz w:val="24"/>
          <w:szCs w:val="24"/>
        </w:rPr>
        <w:t xml:space="preserve"> was what gave Cornwall the idea for their trades shorting subprime MBS through credit default swaps.  The article includes a chart from Paul Singer, general partner of Elliott Associates, showing that if home prices stay flat to appreciating by 4%, the entire double-A tranche of a subprime CDO would fail.  It shows that the triple-A tranche of a subprime CDO would be partially wiped out if home prices depreciated by 0 to -4%, and that the entire triple-A tranches of subprime CDOs would be wiped out if home prices depreciated by -4% to -7%.  Cornwall’s strategy was to buy credit default swap protection on the double-A tranche of subprime CDOs.  </w:t>
      </w:r>
    </w:p>
    <w:p w:rsidR="00617FEB" w:rsidRDefault="00617FEB">
      <w:pPr>
        <w:rPr>
          <w:rFonts w:ascii="Times New Roman" w:hAnsi="Times New Roman"/>
          <w:sz w:val="24"/>
          <w:szCs w:val="24"/>
        </w:rPr>
      </w:pPr>
      <w:r>
        <w:rPr>
          <w:rFonts w:ascii="Times New Roman" w:hAnsi="Times New Roman"/>
          <w:sz w:val="24"/>
          <w:szCs w:val="24"/>
        </w:rPr>
        <w:lastRenderedPageBreak/>
        <w:t>Ben and Charlie Ledley</w:t>
      </w:r>
      <w:r>
        <w:rPr>
          <w:rStyle w:val="FootnoteReference"/>
          <w:rFonts w:ascii="Times New Roman" w:hAnsi="Times New Roman"/>
          <w:sz w:val="24"/>
          <w:szCs w:val="24"/>
        </w:rPr>
        <w:footnoteReference w:id="1"/>
      </w:r>
      <w:r>
        <w:rPr>
          <w:rFonts w:ascii="Times New Roman" w:hAnsi="Times New Roman"/>
          <w:sz w:val="24"/>
          <w:szCs w:val="24"/>
        </w:rPr>
        <w:t xml:space="preserve"> had also seen a September 8, 2006 issue of </w:t>
      </w:r>
      <w:r w:rsidRPr="00617FEB">
        <w:rPr>
          <w:rFonts w:ascii="Times New Roman" w:hAnsi="Times New Roman"/>
          <w:i/>
          <w:sz w:val="24"/>
          <w:szCs w:val="24"/>
        </w:rPr>
        <w:t>Grant’s Interest Rate Observer</w:t>
      </w:r>
      <w:r>
        <w:rPr>
          <w:rFonts w:ascii="Times New Roman" w:hAnsi="Times New Roman"/>
          <w:sz w:val="24"/>
          <w:szCs w:val="24"/>
        </w:rPr>
        <w:t xml:space="preserve"> with another article about subprime MBS and CDOs, which stated:  “For institutional investors equipped to deal in credit default swaps, there’s an opportunity to lay down a low-cost bearish bet.”  </w:t>
      </w:r>
    </w:p>
    <w:p w:rsidR="00DB0825" w:rsidRDefault="00DB0825">
      <w:pPr>
        <w:rPr>
          <w:rFonts w:ascii="Times New Roman" w:hAnsi="Times New Roman"/>
          <w:sz w:val="24"/>
          <w:szCs w:val="24"/>
        </w:rPr>
      </w:pPr>
      <w:r>
        <w:rPr>
          <w:rFonts w:ascii="Times New Roman" w:hAnsi="Times New Roman"/>
          <w:sz w:val="24"/>
          <w:szCs w:val="24"/>
        </w:rPr>
        <w:t>House prices had already started to fall in 2006.  They peaked in the fall of 2005 (</w:t>
      </w:r>
      <w:proofErr w:type="spellStart"/>
      <w:r>
        <w:rPr>
          <w:rFonts w:ascii="Times New Roman" w:hAnsi="Times New Roman"/>
          <w:sz w:val="24"/>
          <w:szCs w:val="24"/>
        </w:rPr>
        <w:t>Shiller</w:t>
      </w:r>
      <w:proofErr w:type="spellEnd"/>
      <w:r>
        <w:rPr>
          <w:rFonts w:ascii="Times New Roman" w:hAnsi="Times New Roman"/>
          <w:sz w:val="24"/>
          <w:szCs w:val="24"/>
        </w:rPr>
        <w:t xml:space="preserve"> index would show for sure).</w:t>
      </w:r>
    </w:p>
    <w:p w:rsidR="00DB0825" w:rsidRDefault="00DB0825">
      <w:pPr>
        <w:rPr>
          <w:rFonts w:ascii="Times New Roman" w:hAnsi="Times New Roman"/>
          <w:sz w:val="24"/>
          <w:szCs w:val="24"/>
        </w:rPr>
      </w:pPr>
      <w:r>
        <w:rPr>
          <w:rFonts w:ascii="Times New Roman" w:hAnsi="Times New Roman"/>
          <w:sz w:val="24"/>
          <w:szCs w:val="24"/>
        </w:rPr>
        <w:t>Cornwall has been told that most hedge funds involved at the ABS level were buying protection on the triple-B tranche of subprime RMBS.</w:t>
      </w:r>
    </w:p>
    <w:p w:rsidR="00DB0825" w:rsidRDefault="00DB0825">
      <w:pPr>
        <w:rPr>
          <w:rFonts w:ascii="Times New Roman" w:hAnsi="Times New Roman"/>
          <w:sz w:val="24"/>
          <w:szCs w:val="24"/>
        </w:rPr>
      </w:pPr>
      <w:r>
        <w:rPr>
          <w:rFonts w:ascii="Times New Roman" w:hAnsi="Times New Roman"/>
          <w:sz w:val="24"/>
          <w:szCs w:val="24"/>
        </w:rPr>
        <w:t>It wasn’t until sometime in 2006 that the market came out with CDS (credit default swaps) on CDOs.  The only way to get short exposure was through CDS.</w:t>
      </w:r>
    </w:p>
    <w:p w:rsidR="00DB0825" w:rsidRDefault="00DB0825">
      <w:pPr>
        <w:rPr>
          <w:rFonts w:ascii="Times New Roman" w:hAnsi="Times New Roman"/>
          <w:sz w:val="24"/>
          <w:szCs w:val="24"/>
        </w:rPr>
      </w:pPr>
      <w:r>
        <w:rPr>
          <w:rFonts w:ascii="Times New Roman" w:hAnsi="Times New Roman"/>
          <w:sz w:val="24"/>
          <w:szCs w:val="24"/>
        </w:rPr>
        <w:t xml:space="preserve">Pay-As-You-Go (“PAUG”) – allows </w:t>
      </w:r>
      <w:r w:rsidR="001911C9">
        <w:rPr>
          <w:rFonts w:ascii="Times New Roman" w:hAnsi="Times New Roman"/>
          <w:sz w:val="24"/>
          <w:szCs w:val="24"/>
        </w:rPr>
        <w:t xml:space="preserve">the </w:t>
      </w:r>
      <w:r>
        <w:rPr>
          <w:rFonts w:ascii="Times New Roman" w:hAnsi="Times New Roman"/>
          <w:sz w:val="24"/>
          <w:szCs w:val="24"/>
        </w:rPr>
        <w:t xml:space="preserve">security to reference assets with unknown cash flows and where the notional can change over time depending on underlying.  </w:t>
      </w:r>
    </w:p>
    <w:p w:rsidR="00C70587" w:rsidRDefault="00C70587">
      <w:pPr>
        <w:rPr>
          <w:rFonts w:ascii="Times New Roman" w:hAnsi="Times New Roman"/>
          <w:sz w:val="24"/>
          <w:szCs w:val="24"/>
        </w:rPr>
      </w:pPr>
      <w:r>
        <w:rPr>
          <w:rFonts w:ascii="Times New Roman" w:hAnsi="Times New Roman"/>
          <w:sz w:val="24"/>
          <w:szCs w:val="24"/>
        </w:rPr>
        <w:t>The ISDA Master Agreement (</w:t>
      </w:r>
      <w:r w:rsidR="003C5793">
        <w:rPr>
          <w:rFonts w:ascii="Times New Roman" w:hAnsi="Times New Roman"/>
          <w:sz w:val="24"/>
          <w:szCs w:val="24"/>
        </w:rPr>
        <w:t>“</w:t>
      </w:r>
      <w:r>
        <w:rPr>
          <w:rFonts w:ascii="Times New Roman" w:hAnsi="Times New Roman"/>
          <w:sz w:val="24"/>
          <w:szCs w:val="24"/>
        </w:rPr>
        <w:t>MA</w:t>
      </w:r>
      <w:r w:rsidR="003C5793">
        <w:rPr>
          <w:rFonts w:ascii="Times New Roman" w:hAnsi="Times New Roman"/>
          <w:sz w:val="24"/>
          <w:szCs w:val="24"/>
        </w:rPr>
        <w:t>”</w:t>
      </w:r>
      <w:r>
        <w:rPr>
          <w:rFonts w:ascii="Times New Roman" w:hAnsi="Times New Roman"/>
          <w:sz w:val="24"/>
          <w:szCs w:val="24"/>
        </w:rPr>
        <w:t xml:space="preserve">) outlines the relationship between the fund and the dealer.  The “Confirmation,” for example, a PAUG Confirmation, wasn’t in the MA.  It was </w:t>
      </w:r>
      <w:proofErr w:type="gramStart"/>
      <w:r>
        <w:rPr>
          <w:rFonts w:ascii="Times New Roman" w:hAnsi="Times New Roman"/>
          <w:sz w:val="24"/>
          <w:szCs w:val="24"/>
        </w:rPr>
        <w:t>a confirm</w:t>
      </w:r>
      <w:proofErr w:type="gramEnd"/>
      <w:r>
        <w:rPr>
          <w:rFonts w:ascii="Times New Roman" w:hAnsi="Times New Roman"/>
          <w:sz w:val="24"/>
          <w:szCs w:val="24"/>
        </w:rPr>
        <w:t xml:space="preserve"> issued upon the time of the trade concerning how the trade could work.</w:t>
      </w:r>
    </w:p>
    <w:p w:rsidR="00C70587" w:rsidRDefault="00C70587">
      <w:pPr>
        <w:rPr>
          <w:rFonts w:ascii="Times New Roman" w:hAnsi="Times New Roman"/>
          <w:sz w:val="24"/>
          <w:szCs w:val="24"/>
        </w:rPr>
      </w:pPr>
      <w:r>
        <w:rPr>
          <w:rFonts w:ascii="Times New Roman" w:hAnsi="Times New Roman"/>
          <w:sz w:val="24"/>
          <w:szCs w:val="24"/>
        </w:rPr>
        <w:t xml:space="preserve">The ISDA MA is a contract you enter into once with each dealer; not for individual deals.  </w:t>
      </w:r>
    </w:p>
    <w:p w:rsidR="00C70587" w:rsidRDefault="003102AA">
      <w:pPr>
        <w:rPr>
          <w:rFonts w:ascii="Times New Roman" w:hAnsi="Times New Roman"/>
          <w:sz w:val="24"/>
          <w:szCs w:val="24"/>
        </w:rPr>
      </w:pPr>
      <w:r>
        <w:rPr>
          <w:rFonts w:ascii="Times New Roman" w:hAnsi="Times New Roman"/>
          <w:sz w:val="24"/>
          <w:szCs w:val="24"/>
        </w:rPr>
        <w:t xml:space="preserve">Ever since Long Term Capital Management, dealers required an ISDA MA to transact </w:t>
      </w:r>
      <w:r w:rsidR="008C4E9C">
        <w:rPr>
          <w:rFonts w:ascii="Times New Roman" w:hAnsi="Times New Roman"/>
          <w:sz w:val="24"/>
          <w:szCs w:val="24"/>
        </w:rPr>
        <w:t>in derivatives even if no credit risk is involved.</w:t>
      </w:r>
    </w:p>
    <w:p w:rsidR="008C4E9C" w:rsidRDefault="008C4E9C">
      <w:pPr>
        <w:rPr>
          <w:rFonts w:ascii="Times New Roman" w:hAnsi="Times New Roman"/>
          <w:sz w:val="24"/>
          <w:szCs w:val="24"/>
        </w:rPr>
      </w:pPr>
      <w:r>
        <w:rPr>
          <w:rFonts w:ascii="Times New Roman" w:hAnsi="Times New Roman"/>
          <w:sz w:val="24"/>
          <w:szCs w:val="24"/>
        </w:rPr>
        <w:t>The Credit Support Annex (</w:t>
      </w:r>
      <w:r w:rsidR="003C5793">
        <w:rPr>
          <w:rFonts w:ascii="Times New Roman" w:hAnsi="Times New Roman"/>
          <w:sz w:val="24"/>
          <w:szCs w:val="24"/>
        </w:rPr>
        <w:t>“</w:t>
      </w:r>
      <w:r>
        <w:rPr>
          <w:rFonts w:ascii="Times New Roman" w:hAnsi="Times New Roman"/>
          <w:sz w:val="24"/>
          <w:szCs w:val="24"/>
        </w:rPr>
        <w:t>CSA</w:t>
      </w:r>
      <w:r w:rsidR="003C5793">
        <w:rPr>
          <w:rFonts w:ascii="Times New Roman" w:hAnsi="Times New Roman"/>
          <w:sz w:val="24"/>
          <w:szCs w:val="24"/>
        </w:rPr>
        <w:t>”</w:t>
      </w:r>
      <w:r>
        <w:rPr>
          <w:rFonts w:ascii="Times New Roman" w:hAnsi="Times New Roman"/>
          <w:sz w:val="24"/>
          <w:szCs w:val="24"/>
        </w:rPr>
        <w:t xml:space="preserve">) specifies how the collateral is to be </w:t>
      </w:r>
      <w:proofErr w:type="gramStart"/>
      <w:r>
        <w:rPr>
          <w:rFonts w:ascii="Times New Roman" w:hAnsi="Times New Roman"/>
          <w:sz w:val="24"/>
          <w:szCs w:val="24"/>
        </w:rPr>
        <w:t>calculated/posted</w:t>
      </w:r>
      <w:proofErr w:type="gramEnd"/>
      <w:r>
        <w:rPr>
          <w:rFonts w:ascii="Times New Roman" w:hAnsi="Times New Roman"/>
          <w:sz w:val="24"/>
          <w:szCs w:val="24"/>
        </w:rPr>
        <w:t>.  The Confirmation specifies the details for each individual transaction.</w:t>
      </w:r>
    </w:p>
    <w:p w:rsidR="008C4E9C" w:rsidRDefault="008C4E9C">
      <w:pPr>
        <w:rPr>
          <w:rFonts w:ascii="Times New Roman" w:hAnsi="Times New Roman"/>
          <w:sz w:val="24"/>
          <w:szCs w:val="24"/>
        </w:rPr>
      </w:pPr>
      <w:r>
        <w:rPr>
          <w:rFonts w:ascii="Times New Roman" w:hAnsi="Times New Roman"/>
          <w:sz w:val="24"/>
          <w:szCs w:val="24"/>
        </w:rPr>
        <w:t>The PAUG Confirmation for CDO trades had language not incorporated into the ISDA MA, and Ben believes that the Confirmation trumps the ISDA MA where there is conflict.</w:t>
      </w:r>
    </w:p>
    <w:p w:rsidR="008C4E9C" w:rsidRDefault="008C4E9C">
      <w:pPr>
        <w:rPr>
          <w:rFonts w:ascii="Times New Roman" w:hAnsi="Times New Roman"/>
          <w:sz w:val="24"/>
          <w:szCs w:val="24"/>
        </w:rPr>
      </w:pPr>
      <w:r>
        <w:rPr>
          <w:rFonts w:ascii="Times New Roman" w:hAnsi="Times New Roman"/>
          <w:sz w:val="24"/>
          <w:szCs w:val="24"/>
        </w:rPr>
        <w:t>In theory, you are able to negotiate the CSA.  In practice, it was like pulling teeth just to get Cornwall Capital to be able to trade in CDS.</w:t>
      </w:r>
    </w:p>
    <w:p w:rsidR="008C4E9C" w:rsidRDefault="008C4E9C">
      <w:pPr>
        <w:rPr>
          <w:rFonts w:ascii="Times New Roman" w:hAnsi="Times New Roman"/>
          <w:sz w:val="24"/>
          <w:szCs w:val="24"/>
        </w:rPr>
      </w:pPr>
      <w:r>
        <w:rPr>
          <w:rFonts w:ascii="Times New Roman" w:hAnsi="Times New Roman"/>
          <w:sz w:val="24"/>
          <w:szCs w:val="24"/>
        </w:rPr>
        <w:t>Cornwall was able to pull collateral if they made money on their trades, but the contract (not sure whether MA, CSA or Confirmation) allowed the dealer, usually Bear Stearns, to determine an independent amount of collateral that Cornwall was required to post, at Bear’s discretion.  In Cornwall’s experience, the independent amount tracked the collateral that should have been posted to Cornwall when they made money on their trades.  Meaning, if Cornwall’s trades moved in their favor, Cornwall should have been able to require Bear to post collateral, but instead, Bear would up the independent amount it required Cornwall to post to offset.</w:t>
      </w:r>
    </w:p>
    <w:p w:rsidR="008C4E9C" w:rsidRDefault="000D3DC0">
      <w:pPr>
        <w:rPr>
          <w:rFonts w:ascii="Times New Roman" w:hAnsi="Times New Roman"/>
          <w:sz w:val="24"/>
          <w:szCs w:val="24"/>
        </w:rPr>
      </w:pPr>
      <w:r>
        <w:rPr>
          <w:rFonts w:ascii="Times New Roman" w:hAnsi="Times New Roman"/>
          <w:sz w:val="24"/>
          <w:szCs w:val="24"/>
        </w:rPr>
        <w:lastRenderedPageBreak/>
        <w:t xml:space="preserve">*In a fractional reserve banking system, anything can cause a liquidity problem.  CDOs made this far more likely because they increased leverage a lot.  </w:t>
      </w:r>
      <w:r w:rsidR="00A12909">
        <w:rPr>
          <w:rFonts w:ascii="Times New Roman" w:hAnsi="Times New Roman"/>
          <w:sz w:val="24"/>
          <w:szCs w:val="24"/>
        </w:rPr>
        <w:t>There did come a point when derivatives weren’t just transferring risk, but creating it.</w:t>
      </w:r>
    </w:p>
    <w:p w:rsidR="00A12909" w:rsidRDefault="00A12909">
      <w:pPr>
        <w:rPr>
          <w:rFonts w:ascii="Times New Roman" w:hAnsi="Times New Roman"/>
          <w:sz w:val="24"/>
          <w:szCs w:val="24"/>
        </w:rPr>
      </w:pPr>
      <w:r>
        <w:rPr>
          <w:rFonts w:ascii="Times New Roman" w:hAnsi="Times New Roman"/>
          <w:sz w:val="24"/>
          <w:szCs w:val="24"/>
        </w:rPr>
        <w:t>Synthetic CDOs were originally called balance sheet loans (because they were used to offset credit risk from assets held on balance sheet).  They were also originally conceived to diversify risk, and included all sorts of different assets with cash flows.</w:t>
      </w:r>
    </w:p>
    <w:p w:rsidR="00A12909" w:rsidRDefault="00A12909">
      <w:pPr>
        <w:rPr>
          <w:rFonts w:ascii="Times New Roman" w:hAnsi="Times New Roman"/>
          <w:sz w:val="24"/>
          <w:szCs w:val="24"/>
        </w:rPr>
      </w:pPr>
      <w:r>
        <w:rPr>
          <w:rFonts w:ascii="Times New Roman" w:hAnsi="Times New Roman"/>
          <w:sz w:val="24"/>
          <w:szCs w:val="24"/>
        </w:rPr>
        <w:t xml:space="preserve">The tipping point – Securitizations are probably a good thing.  </w:t>
      </w:r>
      <w:proofErr w:type="gramStart"/>
      <w:r>
        <w:rPr>
          <w:rFonts w:ascii="Times New Roman" w:hAnsi="Times New Roman"/>
          <w:sz w:val="24"/>
          <w:szCs w:val="24"/>
        </w:rPr>
        <w:t>Securitizations of securitizations, maybe.</w:t>
      </w:r>
      <w:proofErr w:type="gramEnd"/>
      <w:r>
        <w:rPr>
          <w:rFonts w:ascii="Times New Roman" w:hAnsi="Times New Roman"/>
          <w:sz w:val="24"/>
          <w:szCs w:val="24"/>
        </w:rPr>
        <w:t xml:space="preserve">  The point when the CDO became used to aggregate</w:t>
      </w:r>
      <w:r w:rsidR="001911C9">
        <w:rPr>
          <w:rFonts w:ascii="Times New Roman" w:hAnsi="Times New Roman"/>
          <w:sz w:val="24"/>
          <w:szCs w:val="24"/>
        </w:rPr>
        <w:t xml:space="preserve"> the</w:t>
      </w:r>
      <w:r>
        <w:rPr>
          <w:rFonts w:ascii="Times New Roman" w:hAnsi="Times New Roman"/>
          <w:sz w:val="24"/>
          <w:szCs w:val="24"/>
        </w:rPr>
        <w:t xml:space="preserve"> same type of assets, it fundamentally ceased to serve the purpose of diversification.  Correlation assumptions make sense if the CDO assets are diverse, but the correlation assumptions don’t make sense in subprime CDOs.  At some point in 2004-2005 going forward, the tail started wagging the dog.</w:t>
      </w:r>
    </w:p>
    <w:p w:rsidR="00A12909" w:rsidRDefault="00826D25">
      <w:pPr>
        <w:rPr>
          <w:rFonts w:ascii="Times New Roman" w:hAnsi="Times New Roman"/>
          <w:sz w:val="24"/>
          <w:szCs w:val="24"/>
        </w:rPr>
      </w:pPr>
      <w:r>
        <w:rPr>
          <w:rFonts w:ascii="Times New Roman" w:hAnsi="Times New Roman"/>
          <w:sz w:val="24"/>
          <w:szCs w:val="24"/>
        </w:rPr>
        <w:t>You could create an infinite number of CDOs on a finite number of assets.  This was driven by ratings-based buyers (and there was a regulatory component; European banks don’t have to hold capital against triple-A rated assets, meaning that their triple-A liabilities weren’t on their balance sheets).</w:t>
      </w:r>
    </w:p>
    <w:p w:rsidR="00826D25" w:rsidRDefault="00826D25">
      <w:pPr>
        <w:rPr>
          <w:rFonts w:ascii="Times New Roman" w:hAnsi="Times New Roman"/>
          <w:sz w:val="24"/>
          <w:szCs w:val="24"/>
        </w:rPr>
      </w:pPr>
      <w:r>
        <w:rPr>
          <w:rFonts w:ascii="Times New Roman" w:hAnsi="Times New Roman"/>
          <w:sz w:val="24"/>
          <w:szCs w:val="24"/>
        </w:rPr>
        <w:t>For example, IKB bank (in Europe) could buy a bond with borrowed cash (and could borrow/fund below LIBOR for many years).  Ben’s suspicion is that you needed the German bank to buy CDOs and pay cash for it (because they can borrow for free).  It’s not held on the German bank’s balance sheet.  Once the bond is created, there is a CUSIP that is created for that tranche and you can find it on Bloomberg.  This allowed AIG to do unfunded positions on that pool, and trade CDS on it.</w:t>
      </w:r>
    </w:p>
    <w:p w:rsidR="00826D25" w:rsidRDefault="007B6222">
      <w:pPr>
        <w:rPr>
          <w:rFonts w:ascii="Times New Roman" w:hAnsi="Times New Roman"/>
          <w:sz w:val="24"/>
          <w:szCs w:val="24"/>
        </w:rPr>
      </w:pPr>
      <w:r>
        <w:rPr>
          <w:rFonts w:ascii="Times New Roman" w:hAnsi="Times New Roman"/>
          <w:sz w:val="24"/>
          <w:szCs w:val="24"/>
        </w:rPr>
        <w:t xml:space="preserve">Cornwall participated at the CDO level, and wasn’t able to be too choosy.  </w:t>
      </w:r>
      <w:r w:rsidR="007658EA">
        <w:rPr>
          <w:rFonts w:ascii="Times New Roman" w:hAnsi="Times New Roman"/>
          <w:sz w:val="24"/>
          <w:szCs w:val="24"/>
        </w:rPr>
        <w:t xml:space="preserve">Cornwall knew from reading research that they wanted to buy CDS on double-A tranches of CDOs.  They went to banks and said they wanted to buy CDS on double-A tranches.  Banks would come back with a list of 1-10 tranches on which Cornwall could buy CDS protection.  Cornwall used Lehman Live to get information on the tranches on the list.  (This showed what % the CDO’s assets were made up of, and also attachment and detachment points for liability on the tranches.  Some would have larger equity tranches at the bottom, and the attachment point would show this.)  </w:t>
      </w:r>
      <w:proofErr w:type="spellStart"/>
      <w:r w:rsidR="007658EA">
        <w:rPr>
          <w:rFonts w:ascii="Times New Roman" w:hAnsi="Times New Roman"/>
          <w:sz w:val="24"/>
          <w:szCs w:val="24"/>
        </w:rPr>
        <w:t>Intex</w:t>
      </w:r>
      <w:proofErr w:type="spellEnd"/>
      <w:r w:rsidR="007658EA">
        <w:rPr>
          <w:rFonts w:ascii="Times New Roman" w:hAnsi="Times New Roman"/>
          <w:sz w:val="24"/>
          <w:szCs w:val="24"/>
        </w:rPr>
        <w:t>, a more robust data source on underlying loan pools, would not even return Cornwall’s phone calls.</w:t>
      </w:r>
    </w:p>
    <w:p w:rsidR="007658EA" w:rsidRDefault="007658EA">
      <w:pPr>
        <w:rPr>
          <w:rFonts w:ascii="Times New Roman" w:hAnsi="Times New Roman"/>
          <w:sz w:val="24"/>
          <w:szCs w:val="24"/>
        </w:rPr>
      </w:pPr>
      <w:r>
        <w:rPr>
          <w:rFonts w:ascii="Times New Roman" w:hAnsi="Times New Roman"/>
          <w:sz w:val="24"/>
          <w:szCs w:val="24"/>
        </w:rPr>
        <w:t>Cornwall didn’t know how to distinguish between cash and synthetic CDOs.  They didn’t know if the underlying collateral was synthetic.  Jamie said this may not have mattered, though.  Cornwall did mostly old deals – 2005 and 2006.</w:t>
      </w:r>
    </w:p>
    <w:p w:rsidR="007658EA" w:rsidRDefault="00A032B3">
      <w:pPr>
        <w:rPr>
          <w:rFonts w:ascii="Times New Roman" w:hAnsi="Times New Roman"/>
          <w:sz w:val="24"/>
          <w:szCs w:val="24"/>
        </w:rPr>
      </w:pPr>
      <w:r>
        <w:rPr>
          <w:rFonts w:ascii="Times New Roman" w:hAnsi="Times New Roman"/>
          <w:sz w:val="24"/>
          <w:szCs w:val="24"/>
        </w:rPr>
        <w:t>CDO managers manage pools that are either static or dynamic.  The deals were all dynamic until a certain point when the static pool was introduced, which was relatively later.  Cornwall believes that all of its trades were dynamic.</w:t>
      </w:r>
    </w:p>
    <w:p w:rsidR="00DE680D" w:rsidRDefault="00DE680D" w:rsidP="00DE680D">
      <w:pPr>
        <w:rPr>
          <w:rFonts w:ascii="Times New Roman" w:hAnsi="Times New Roman"/>
          <w:sz w:val="24"/>
          <w:szCs w:val="24"/>
        </w:rPr>
      </w:pPr>
      <w:r>
        <w:rPr>
          <w:rFonts w:ascii="Times New Roman" w:hAnsi="Times New Roman"/>
          <w:sz w:val="24"/>
          <w:szCs w:val="24"/>
        </w:rPr>
        <w:lastRenderedPageBreak/>
        <w:t>To know whether a pool is dynamic or static, look in the CDO prospectus under “Reinvestment Period.”</w:t>
      </w:r>
    </w:p>
    <w:p w:rsidR="00A032B3" w:rsidRDefault="00A032B3">
      <w:pPr>
        <w:rPr>
          <w:rFonts w:ascii="Times New Roman" w:hAnsi="Times New Roman"/>
          <w:sz w:val="24"/>
          <w:szCs w:val="24"/>
        </w:rPr>
      </w:pPr>
      <w:r>
        <w:rPr>
          <w:rFonts w:ascii="Times New Roman" w:hAnsi="Times New Roman"/>
          <w:sz w:val="24"/>
          <w:szCs w:val="24"/>
        </w:rPr>
        <w:t>CDO trustees issue quarterly trustee reports regarding the assets in the pools</w:t>
      </w:r>
      <w:r w:rsidR="00DE680D">
        <w:rPr>
          <w:rFonts w:ascii="Times New Roman" w:hAnsi="Times New Roman"/>
          <w:sz w:val="24"/>
          <w:szCs w:val="24"/>
        </w:rPr>
        <w:t>.  Cornwall did not receive these reports (presumably they went to the long investors).</w:t>
      </w:r>
    </w:p>
    <w:p w:rsidR="00DE680D" w:rsidRDefault="00DE680D" w:rsidP="00DE680D">
      <w:pPr>
        <w:rPr>
          <w:rFonts w:ascii="Times New Roman" w:hAnsi="Times New Roman"/>
          <w:sz w:val="24"/>
          <w:szCs w:val="24"/>
        </w:rPr>
      </w:pPr>
      <w:r>
        <w:rPr>
          <w:rFonts w:ascii="Times New Roman" w:hAnsi="Times New Roman"/>
          <w:sz w:val="24"/>
          <w:szCs w:val="24"/>
        </w:rPr>
        <w:t>In 2005, Ben started the process of getting Cornwall’s ISDA.</w:t>
      </w:r>
    </w:p>
    <w:p w:rsidR="00DE680D" w:rsidRDefault="00DE680D">
      <w:pPr>
        <w:rPr>
          <w:rFonts w:ascii="Times New Roman" w:hAnsi="Times New Roman"/>
          <w:sz w:val="24"/>
          <w:szCs w:val="24"/>
        </w:rPr>
      </w:pPr>
      <w:r>
        <w:rPr>
          <w:rFonts w:ascii="Times New Roman" w:hAnsi="Times New Roman"/>
          <w:sz w:val="24"/>
          <w:szCs w:val="24"/>
        </w:rPr>
        <w:t xml:space="preserve">Cornwall </w:t>
      </w:r>
      <w:proofErr w:type="gramStart"/>
      <w:r>
        <w:rPr>
          <w:rFonts w:ascii="Times New Roman" w:hAnsi="Times New Roman"/>
          <w:sz w:val="24"/>
          <w:szCs w:val="24"/>
        </w:rPr>
        <w:t>counterparties</w:t>
      </w:r>
      <w:proofErr w:type="gramEnd"/>
      <w:r>
        <w:rPr>
          <w:rFonts w:ascii="Times New Roman" w:hAnsi="Times New Roman"/>
          <w:sz w:val="24"/>
          <w:szCs w:val="24"/>
        </w:rPr>
        <w:t xml:space="preserve"> – Bear Stearns – sales – Andrew </w:t>
      </w:r>
      <w:proofErr w:type="spellStart"/>
      <w:r>
        <w:rPr>
          <w:rFonts w:ascii="Times New Roman" w:hAnsi="Times New Roman"/>
          <w:sz w:val="24"/>
          <w:szCs w:val="24"/>
        </w:rPr>
        <w:t>Javorsky</w:t>
      </w:r>
      <w:proofErr w:type="spellEnd"/>
      <w:r>
        <w:rPr>
          <w:rFonts w:ascii="Times New Roman" w:hAnsi="Times New Roman"/>
          <w:sz w:val="24"/>
          <w:szCs w:val="24"/>
        </w:rPr>
        <w:t xml:space="preserve"> in structured credit sales (not a trader).  It was unclear how much the sal</w:t>
      </w:r>
      <w:r w:rsidR="00C73ED6">
        <w:rPr>
          <w:rFonts w:ascii="Times New Roman" w:hAnsi="Times New Roman"/>
          <w:sz w:val="24"/>
          <w:szCs w:val="24"/>
        </w:rPr>
        <w:t xml:space="preserve">es guys knew.  Brett </w:t>
      </w:r>
      <w:proofErr w:type="spellStart"/>
      <w:r w:rsidR="00C73ED6">
        <w:rPr>
          <w:rFonts w:ascii="Times New Roman" w:hAnsi="Times New Roman"/>
          <w:sz w:val="24"/>
          <w:szCs w:val="24"/>
        </w:rPr>
        <w:t>Perlmutter</w:t>
      </w:r>
      <w:proofErr w:type="spellEnd"/>
      <w:r w:rsidR="00C73ED6">
        <w:rPr>
          <w:rFonts w:ascii="Times New Roman" w:hAnsi="Times New Roman"/>
          <w:sz w:val="24"/>
          <w:szCs w:val="24"/>
        </w:rPr>
        <w:t xml:space="preserve"> worked with Cornwall on the first</w:t>
      </w:r>
      <w:r>
        <w:rPr>
          <w:rFonts w:ascii="Times New Roman" w:hAnsi="Times New Roman"/>
          <w:sz w:val="24"/>
          <w:szCs w:val="24"/>
        </w:rPr>
        <w:t xml:space="preserve"> round of CDO trades Cornwall did.  Cornwall met the Bear traders once in Las Vegas.</w:t>
      </w:r>
    </w:p>
    <w:p w:rsidR="00DE680D" w:rsidRDefault="00DE680D">
      <w:pPr>
        <w:rPr>
          <w:rFonts w:ascii="Times New Roman" w:hAnsi="Times New Roman"/>
          <w:sz w:val="24"/>
          <w:szCs w:val="24"/>
        </w:rPr>
      </w:pPr>
      <w:proofErr w:type="gramStart"/>
      <w:r>
        <w:rPr>
          <w:rFonts w:ascii="Times New Roman" w:hAnsi="Times New Roman"/>
          <w:sz w:val="24"/>
          <w:szCs w:val="24"/>
        </w:rPr>
        <w:t>Stacy Strauss at Morgan Stanley.</w:t>
      </w:r>
      <w:proofErr w:type="gramEnd"/>
    </w:p>
    <w:p w:rsidR="00DE680D" w:rsidRDefault="00DE680D">
      <w:pPr>
        <w:rPr>
          <w:rFonts w:ascii="Times New Roman" w:hAnsi="Times New Roman"/>
          <w:sz w:val="24"/>
          <w:szCs w:val="24"/>
        </w:rPr>
      </w:pPr>
      <w:r>
        <w:rPr>
          <w:rFonts w:ascii="Times New Roman" w:hAnsi="Times New Roman"/>
          <w:sz w:val="24"/>
          <w:szCs w:val="24"/>
        </w:rPr>
        <w:t>Greg Donohue, salesperson at Deutsche Bank.  (Per Lewis’s book, he had never had his own client before.)  Ben had a relationship with Deutsche because he worked there for 8 years.</w:t>
      </w:r>
    </w:p>
    <w:p w:rsidR="00DE680D" w:rsidRDefault="00DE680D">
      <w:pPr>
        <w:rPr>
          <w:rFonts w:ascii="Times New Roman" w:hAnsi="Times New Roman"/>
          <w:sz w:val="24"/>
          <w:szCs w:val="24"/>
        </w:rPr>
      </w:pPr>
      <w:r>
        <w:rPr>
          <w:rFonts w:ascii="Times New Roman" w:hAnsi="Times New Roman"/>
          <w:sz w:val="24"/>
          <w:szCs w:val="24"/>
        </w:rPr>
        <w:t xml:space="preserve">Cornwall had seen Greg Lippmann’s deck about shorting subprime securities.  </w:t>
      </w:r>
      <w:r w:rsidR="00017C55">
        <w:rPr>
          <w:rFonts w:ascii="Times New Roman" w:hAnsi="Times New Roman"/>
          <w:sz w:val="24"/>
          <w:szCs w:val="24"/>
        </w:rPr>
        <w:t>They also had a couple of conversations with a trader to help them understand how it worked and the structure of the trades – Rich Rizzo.  Cornwall went to Deutsche Bank – Deutsche didn’t pitch them.</w:t>
      </w:r>
    </w:p>
    <w:p w:rsidR="00564EDA" w:rsidRDefault="00A142CD">
      <w:pPr>
        <w:rPr>
          <w:rFonts w:ascii="Times New Roman" w:hAnsi="Times New Roman"/>
          <w:sz w:val="24"/>
          <w:szCs w:val="24"/>
        </w:rPr>
      </w:pPr>
      <w:r>
        <w:rPr>
          <w:rFonts w:ascii="Times New Roman" w:hAnsi="Times New Roman"/>
          <w:sz w:val="24"/>
          <w:szCs w:val="24"/>
        </w:rPr>
        <w:t>[</w:t>
      </w:r>
      <w:r w:rsidR="00017C55">
        <w:rPr>
          <w:rFonts w:ascii="Times New Roman" w:hAnsi="Times New Roman"/>
          <w:sz w:val="24"/>
          <w:szCs w:val="24"/>
        </w:rPr>
        <w:t>Cornwall thought it was important to pay attention to the fixed or variable cap, which is what implied a write-down on the securities or not.  This is important for mark to market of the CDO vs. waiting for underlying cash flows of underlying bonds.</w:t>
      </w:r>
      <w:r>
        <w:rPr>
          <w:rFonts w:ascii="Times New Roman" w:hAnsi="Times New Roman"/>
          <w:sz w:val="24"/>
          <w:szCs w:val="24"/>
        </w:rPr>
        <w:t>]</w:t>
      </w:r>
    </w:p>
    <w:p w:rsidR="00564EDA" w:rsidRDefault="00564EDA">
      <w:pPr>
        <w:rPr>
          <w:rFonts w:ascii="Times New Roman" w:hAnsi="Times New Roman"/>
          <w:sz w:val="24"/>
          <w:szCs w:val="24"/>
        </w:rPr>
      </w:pPr>
      <w:r>
        <w:rPr>
          <w:rFonts w:ascii="Times New Roman" w:hAnsi="Times New Roman"/>
          <w:sz w:val="24"/>
          <w:szCs w:val="24"/>
        </w:rPr>
        <w:t>It wasn’t standard for Cornwall to get to see deal prospectuses.  They may have seen one or two.</w:t>
      </w:r>
    </w:p>
    <w:p w:rsidR="00564EDA" w:rsidRDefault="00564EDA">
      <w:pPr>
        <w:rPr>
          <w:rFonts w:ascii="Times New Roman" w:hAnsi="Times New Roman"/>
          <w:sz w:val="24"/>
          <w:szCs w:val="24"/>
        </w:rPr>
      </w:pPr>
      <w:r>
        <w:rPr>
          <w:rFonts w:ascii="Times New Roman" w:hAnsi="Times New Roman"/>
          <w:sz w:val="24"/>
          <w:szCs w:val="24"/>
        </w:rPr>
        <w:t>The spread on Cornwall’s trades is not necessarily comparable to other trades because they may have been buying protection on a different tranche (or a tranche rated differently).  They were paying 65 basis points getting in on the CDS trades on double-A tranches.  Burry was paying more because he was buying CDS on a different tranche.</w:t>
      </w:r>
    </w:p>
    <w:p w:rsidR="00017C55" w:rsidRDefault="00C51199">
      <w:pPr>
        <w:rPr>
          <w:rFonts w:ascii="Times New Roman" w:hAnsi="Times New Roman"/>
          <w:sz w:val="24"/>
          <w:szCs w:val="24"/>
        </w:rPr>
      </w:pPr>
      <w:r>
        <w:rPr>
          <w:rFonts w:ascii="Times New Roman" w:hAnsi="Times New Roman"/>
          <w:sz w:val="24"/>
          <w:szCs w:val="24"/>
        </w:rPr>
        <w:t xml:space="preserve">Cornwall never had to post variation margin, which you post when you’re losing money.  They did post initial margin – premium payments – maybe 1-1.5% of notional.  Looking at their marks might be more interesting.  These would be shown on the monthly broker statements.  </w:t>
      </w:r>
      <w:r w:rsidR="009F145C">
        <w:rPr>
          <w:rFonts w:ascii="Times New Roman" w:hAnsi="Times New Roman"/>
          <w:sz w:val="24"/>
          <w:szCs w:val="24"/>
        </w:rPr>
        <w:t>Documents underlying one trade, e.g., collateral and marks – it’s easy to give us the marks that are in the Cornwall system (rather than dig up emails that show what the dealers marks were on a given deal).</w:t>
      </w:r>
      <w:r w:rsidR="00017C55">
        <w:rPr>
          <w:rFonts w:ascii="Times New Roman" w:hAnsi="Times New Roman"/>
          <w:sz w:val="24"/>
          <w:szCs w:val="24"/>
        </w:rPr>
        <w:t xml:space="preserve">  </w:t>
      </w:r>
    </w:p>
    <w:p w:rsidR="009F145C" w:rsidRDefault="0050059B">
      <w:pPr>
        <w:rPr>
          <w:rFonts w:ascii="Times New Roman" w:hAnsi="Times New Roman"/>
          <w:sz w:val="24"/>
          <w:szCs w:val="24"/>
        </w:rPr>
      </w:pPr>
      <w:r>
        <w:rPr>
          <w:rFonts w:ascii="Times New Roman" w:hAnsi="Times New Roman"/>
          <w:sz w:val="24"/>
          <w:szCs w:val="24"/>
        </w:rPr>
        <w:t>All of Cornwall’s profit was made when they sold their positions.  Their marks were never moved before then.</w:t>
      </w:r>
    </w:p>
    <w:p w:rsidR="0050059B" w:rsidRDefault="0050059B">
      <w:pPr>
        <w:rPr>
          <w:rFonts w:ascii="Times New Roman" w:hAnsi="Times New Roman"/>
          <w:sz w:val="24"/>
          <w:szCs w:val="24"/>
        </w:rPr>
      </w:pPr>
      <w:r>
        <w:rPr>
          <w:rFonts w:ascii="Times New Roman" w:hAnsi="Times New Roman"/>
          <w:sz w:val="24"/>
          <w:szCs w:val="24"/>
        </w:rPr>
        <w:t xml:space="preserve">If Cornwall was paying 50 basis points, that’s 0.5% per year running the life of the trade (assuming a 5 year trade, this means Cornwall would pay 2.5% over the life of the deal).  </w:t>
      </w:r>
      <w:r>
        <w:rPr>
          <w:rFonts w:ascii="Times New Roman" w:hAnsi="Times New Roman"/>
          <w:sz w:val="24"/>
          <w:szCs w:val="24"/>
        </w:rPr>
        <w:lastRenderedPageBreak/>
        <w:t xml:space="preserve">Cornwall believes that dealers were offering protection on the same tranches for which Cornwall held protection at </w:t>
      </w:r>
      <w:r w:rsidR="000139A6">
        <w:rPr>
          <w:rFonts w:ascii="Times New Roman" w:hAnsi="Times New Roman"/>
          <w:sz w:val="24"/>
          <w:szCs w:val="24"/>
        </w:rPr>
        <w:t xml:space="preserve">a price of </w:t>
      </w:r>
      <w:r>
        <w:rPr>
          <w:rFonts w:ascii="Times New Roman" w:hAnsi="Times New Roman"/>
          <w:sz w:val="24"/>
          <w:szCs w:val="24"/>
        </w:rPr>
        <w:t xml:space="preserve">30-40% </w:t>
      </w:r>
      <w:r w:rsidR="000139A6">
        <w:rPr>
          <w:rFonts w:ascii="Times New Roman" w:hAnsi="Times New Roman"/>
          <w:sz w:val="24"/>
          <w:szCs w:val="24"/>
        </w:rPr>
        <w:t xml:space="preserve">of notional </w:t>
      </w:r>
      <w:r>
        <w:rPr>
          <w:rFonts w:ascii="Times New Roman" w:hAnsi="Times New Roman"/>
          <w:sz w:val="24"/>
          <w:szCs w:val="24"/>
        </w:rPr>
        <w:t>(i.e., 3000-4000 basis points).  In other words,</w:t>
      </w:r>
      <w:r w:rsidR="00012C8D">
        <w:rPr>
          <w:rFonts w:ascii="Times New Roman" w:hAnsi="Times New Roman"/>
          <w:sz w:val="24"/>
          <w:szCs w:val="24"/>
        </w:rPr>
        <w:t xml:space="preserve"> it was</w:t>
      </w:r>
      <w:r>
        <w:rPr>
          <w:rFonts w:ascii="Times New Roman" w:hAnsi="Times New Roman"/>
          <w:sz w:val="24"/>
          <w:szCs w:val="24"/>
        </w:rPr>
        <w:t xml:space="preserve"> selling for 80 times what Cornwall </w:t>
      </w:r>
      <w:r w:rsidR="00012C8D">
        <w:rPr>
          <w:rFonts w:ascii="Times New Roman" w:hAnsi="Times New Roman"/>
          <w:sz w:val="24"/>
          <w:szCs w:val="24"/>
        </w:rPr>
        <w:t>had bought at</w:t>
      </w:r>
      <w:r>
        <w:rPr>
          <w:rFonts w:ascii="Times New Roman" w:hAnsi="Times New Roman"/>
          <w:sz w:val="24"/>
          <w:szCs w:val="24"/>
        </w:rPr>
        <w:t xml:space="preserve">, or 80 times what the dealers were marking Cornwall’s positions at.  </w:t>
      </w:r>
    </w:p>
    <w:p w:rsidR="0050059B" w:rsidRDefault="0050059B">
      <w:pPr>
        <w:rPr>
          <w:rFonts w:ascii="Times New Roman" w:hAnsi="Times New Roman"/>
          <w:sz w:val="24"/>
          <w:szCs w:val="24"/>
        </w:rPr>
      </w:pPr>
      <w:r>
        <w:rPr>
          <w:rFonts w:ascii="Times New Roman" w:hAnsi="Times New Roman"/>
          <w:sz w:val="24"/>
          <w:szCs w:val="24"/>
        </w:rPr>
        <w:t xml:space="preserve">The source for this was Ben talking to people in the market.  Banks weren’t marking positions.  </w:t>
      </w:r>
      <w:r w:rsidR="004B4AF9">
        <w:rPr>
          <w:rFonts w:ascii="Times New Roman" w:hAnsi="Times New Roman"/>
          <w:sz w:val="24"/>
          <w:szCs w:val="24"/>
        </w:rPr>
        <w:t>S</w:t>
      </w:r>
      <w:r w:rsidR="001E2311">
        <w:rPr>
          <w:rFonts w:ascii="Times New Roman" w:hAnsi="Times New Roman"/>
          <w:sz w:val="24"/>
          <w:szCs w:val="24"/>
        </w:rPr>
        <w:t xml:space="preserve">omeone </w:t>
      </w:r>
      <w:r w:rsidR="004B4AF9">
        <w:rPr>
          <w:rFonts w:ascii="Times New Roman" w:hAnsi="Times New Roman"/>
          <w:sz w:val="24"/>
          <w:szCs w:val="24"/>
        </w:rPr>
        <w:t xml:space="preserve">(either at Deutsche or Morgan Stanley he thinks) </w:t>
      </w:r>
      <w:r w:rsidR="001E2311">
        <w:rPr>
          <w:rFonts w:ascii="Times New Roman" w:hAnsi="Times New Roman"/>
          <w:sz w:val="24"/>
          <w:szCs w:val="24"/>
        </w:rPr>
        <w:t>told Ben</w:t>
      </w:r>
      <w:r w:rsidR="004B4AF9">
        <w:rPr>
          <w:rFonts w:ascii="Times New Roman" w:hAnsi="Times New Roman"/>
          <w:sz w:val="24"/>
          <w:szCs w:val="24"/>
        </w:rPr>
        <w:t xml:space="preserve"> that</w:t>
      </w:r>
      <w:r w:rsidR="001E2311">
        <w:rPr>
          <w:rFonts w:ascii="Times New Roman" w:hAnsi="Times New Roman"/>
          <w:sz w:val="24"/>
          <w:szCs w:val="24"/>
        </w:rPr>
        <w:t xml:space="preserve"> </w:t>
      </w:r>
      <w:r w:rsidR="004B4AF9">
        <w:rPr>
          <w:rFonts w:ascii="Times New Roman" w:hAnsi="Times New Roman"/>
          <w:sz w:val="24"/>
          <w:szCs w:val="24"/>
        </w:rPr>
        <w:t xml:space="preserve">one position Cornwall owned </w:t>
      </w:r>
      <w:r w:rsidR="001E2311">
        <w:rPr>
          <w:rFonts w:ascii="Times New Roman" w:hAnsi="Times New Roman"/>
          <w:sz w:val="24"/>
          <w:szCs w:val="24"/>
        </w:rPr>
        <w:t>was traded at a much higher level (price).</w:t>
      </w:r>
      <w:r w:rsidR="004B4AF9">
        <w:rPr>
          <w:rFonts w:ascii="Times New Roman" w:hAnsi="Times New Roman"/>
          <w:sz w:val="24"/>
          <w:szCs w:val="24"/>
        </w:rPr>
        <w:t xml:space="preserve">  </w:t>
      </w:r>
      <w:proofErr w:type="gramStart"/>
      <w:r w:rsidR="004B4AF9">
        <w:rPr>
          <w:rFonts w:ascii="Times New Roman" w:hAnsi="Times New Roman"/>
          <w:sz w:val="24"/>
          <w:szCs w:val="24"/>
        </w:rPr>
        <w:t>This made Cornwall believe</w:t>
      </w:r>
      <w:proofErr w:type="gramEnd"/>
      <w:r w:rsidR="004B4AF9">
        <w:rPr>
          <w:rFonts w:ascii="Times New Roman" w:hAnsi="Times New Roman"/>
          <w:sz w:val="24"/>
          <w:szCs w:val="24"/>
        </w:rPr>
        <w:t xml:space="preserve"> that their dealers weren’t marking the Cornwall positions appropriately (and in a way that would be favorable to Cornwall).</w:t>
      </w:r>
      <w:r w:rsidR="001E2311">
        <w:rPr>
          <w:rFonts w:ascii="Times New Roman" w:hAnsi="Times New Roman"/>
          <w:sz w:val="24"/>
          <w:szCs w:val="24"/>
        </w:rPr>
        <w:t xml:space="preserve">  By the time banks were trading in price up front, information from Bear shut down.  </w:t>
      </w:r>
    </w:p>
    <w:p w:rsidR="00314748" w:rsidRDefault="00314748">
      <w:pPr>
        <w:rPr>
          <w:rFonts w:ascii="Times New Roman" w:hAnsi="Times New Roman"/>
          <w:sz w:val="24"/>
          <w:szCs w:val="24"/>
        </w:rPr>
      </w:pPr>
      <w:r>
        <w:rPr>
          <w:rFonts w:ascii="Times New Roman" w:hAnsi="Times New Roman"/>
          <w:sz w:val="24"/>
          <w:szCs w:val="24"/>
        </w:rPr>
        <w:t xml:space="preserve">Banks were still publishing research showing a minor widening – only 60 to 70 basis points.  I.e., investment banking research was understating the size of sell off in the market.  Deals were continuing to get issued at 50 basis points.  </w:t>
      </w:r>
    </w:p>
    <w:p w:rsidR="006B1E89" w:rsidRDefault="006B1E89">
      <w:pPr>
        <w:rPr>
          <w:rFonts w:ascii="Times New Roman" w:hAnsi="Times New Roman"/>
          <w:sz w:val="24"/>
          <w:szCs w:val="24"/>
        </w:rPr>
      </w:pPr>
      <w:r>
        <w:rPr>
          <w:rFonts w:ascii="Times New Roman" w:hAnsi="Times New Roman"/>
          <w:sz w:val="24"/>
          <w:szCs w:val="24"/>
        </w:rPr>
        <w:t xml:space="preserve">Possible source of information at the banks – </w:t>
      </w:r>
    </w:p>
    <w:p w:rsidR="006B1E89" w:rsidRDefault="006B1E89">
      <w:pPr>
        <w:rPr>
          <w:rFonts w:ascii="Times New Roman" w:hAnsi="Times New Roman"/>
          <w:sz w:val="24"/>
          <w:szCs w:val="24"/>
        </w:rPr>
      </w:pPr>
      <w:r>
        <w:rPr>
          <w:rFonts w:ascii="Times New Roman" w:hAnsi="Times New Roman"/>
          <w:sz w:val="24"/>
          <w:szCs w:val="24"/>
        </w:rPr>
        <w:t>BWICS or OWICS – bid with intent to close or offer with intent to close.</w:t>
      </w:r>
      <w:r>
        <w:rPr>
          <w:rStyle w:val="FootnoteReference"/>
          <w:rFonts w:ascii="Times New Roman" w:hAnsi="Times New Roman"/>
          <w:sz w:val="24"/>
          <w:szCs w:val="24"/>
        </w:rPr>
        <w:footnoteReference w:id="2"/>
      </w:r>
      <w:r>
        <w:rPr>
          <w:rFonts w:ascii="Times New Roman" w:hAnsi="Times New Roman"/>
          <w:sz w:val="24"/>
          <w:szCs w:val="24"/>
        </w:rPr>
        <w:t xml:space="preserve">  </w:t>
      </w:r>
      <w:r w:rsidR="00E93873">
        <w:rPr>
          <w:rFonts w:ascii="Times New Roman" w:hAnsi="Times New Roman"/>
          <w:sz w:val="24"/>
          <w:szCs w:val="24"/>
        </w:rPr>
        <w:t>This is where a list is sent to all banks, and there is an auction the next day.  Dealers participate by bidding, and if they don’t win the bid, they are still usually given feedback on where the bonds are trading.  This may not be a meaningful source of information; it may be done for price discovery purposes.  In any event, this is where Ben believes some of the information came from that he got from banks about Cornwall’s positions trading significantly higher than dealers were currently marking Cornwall’s positions.</w:t>
      </w:r>
    </w:p>
    <w:p w:rsidR="00E93873" w:rsidRDefault="00E93873">
      <w:pPr>
        <w:rPr>
          <w:rFonts w:ascii="Times New Roman" w:hAnsi="Times New Roman"/>
          <w:sz w:val="24"/>
          <w:szCs w:val="24"/>
        </w:rPr>
      </w:pPr>
      <w:r>
        <w:rPr>
          <w:rFonts w:ascii="Times New Roman" w:hAnsi="Times New Roman"/>
          <w:sz w:val="24"/>
          <w:szCs w:val="24"/>
        </w:rPr>
        <w:t xml:space="preserve">Looking at the list of Cornwall trades that Ben Hockett emailed in advance, re: ACABS 2006-1A A2l – This was one of the bonds that Cornwall was getting market information on.  This bond was leading the market down in Cornwall’s portfolio.  Ben thinks the information he got on this bond came from Deutsche or Morgan Stanley.  They would probably be less likely to tell Cornwall if they’d actually won the BWIC or OWIC auction; probably they bid, lost, and then got soft information from the buyer.  </w:t>
      </w:r>
    </w:p>
    <w:p w:rsidR="00E93873" w:rsidRDefault="00E93873">
      <w:pPr>
        <w:rPr>
          <w:rFonts w:ascii="Times New Roman" w:hAnsi="Times New Roman"/>
          <w:sz w:val="24"/>
          <w:szCs w:val="24"/>
        </w:rPr>
      </w:pPr>
      <w:r>
        <w:rPr>
          <w:rFonts w:ascii="Times New Roman" w:hAnsi="Times New Roman"/>
          <w:sz w:val="24"/>
          <w:szCs w:val="24"/>
        </w:rPr>
        <w:t xml:space="preserve">Another deal listed – TOURM 2005-1A III – (Tourmaline) – </w:t>
      </w:r>
      <w:r w:rsidR="000D25EF">
        <w:rPr>
          <w:rFonts w:ascii="Times New Roman" w:hAnsi="Times New Roman"/>
          <w:sz w:val="24"/>
          <w:szCs w:val="24"/>
        </w:rPr>
        <w:t>Jamie said this was another interesting deal.  It was managed by Blackrock.  There was chatter that Blackrock, the CDO manager, might be creative in the way it was trading.  (Perhaps managing CDOs and shorting?)</w:t>
      </w:r>
    </w:p>
    <w:p w:rsidR="00CA51BD" w:rsidRDefault="00CA51BD">
      <w:pPr>
        <w:rPr>
          <w:rFonts w:ascii="Times New Roman" w:hAnsi="Times New Roman"/>
          <w:sz w:val="24"/>
          <w:szCs w:val="24"/>
        </w:rPr>
      </w:pPr>
      <w:r>
        <w:rPr>
          <w:rFonts w:ascii="Times New Roman" w:hAnsi="Times New Roman"/>
          <w:sz w:val="24"/>
          <w:szCs w:val="24"/>
        </w:rPr>
        <w:t>The FCIC could subpoena bid-asks on a couple of Cornwall’s positions from February to June 2007 and compare the marks given to Cornwall on their positions vs. the price at which the dealers were selling the same protection at that time.</w:t>
      </w:r>
      <w:r w:rsidR="00256C48">
        <w:rPr>
          <w:rFonts w:ascii="Times New Roman" w:hAnsi="Times New Roman"/>
          <w:sz w:val="24"/>
          <w:szCs w:val="24"/>
        </w:rPr>
        <w:t xml:space="preserve">  Cornwall will send FCIC underlying information and monthly marks on a couple of positions that the FCIC can use to gather this information from dealers.</w:t>
      </w:r>
    </w:p>
    <w:p w:rsidR="000D25EF" w:rsidRDefault="000D25EF">
      <w:pPr>
        <w:rPr>
          <w:rFonts w:ascii="Times New Roman" w:hAnsi="Times New Roman"/>
          <w:sz w:val="24"/>
          <w:szCs w:val="24"/>
        </w:rPr>
      </w:pPr>
      <w:r>
        <w:rPr>
          <w:rFonts w:ascii="Times New Roman" w:hAnsi="Times New Roman"/>
          <w:sz w:val="24"/>
          <w:szCs w:val="24"/>
        </w:rPr>
        <w:lastRenderedPageBreak/>
        <w:t xml:space="preserve">Cornwall </w:t>
      </w:r>
      <w:r w:rsidR="007135E8">
        <w:rPr>
          <w:rFonts w:ascii="Times New Roman" w:hAnsi="Times New Roman"/>
          <w:sz w:val="24"/>
          <w:szCs w:val="24"/>
        </w:rPr>
        <w:t xml:space="preserve">also </w:t>
      </w:r>
      <w:r>
        <w:rPr>
          <w:rFonts w:ascii="Times New Roman" w:hAnsi="Times New Roman"/>
          <w:sz w:val="24"/>
          <w:szCs w:val="24"/>
        </w:rPr>
        <w:t xml:space="preserve">suggested – Find CDOs that had a settle date (the date brought to life) after the TABX was invented, on Feb. 21, 2007 – This is when the market was clearly going down.  Find out who bought, at what level, and what trades were going on </w:t>
      </w:r>
      <w:proofErr w:type="spellStart"/>
      <w:r>
        <w:rPr>
          <w:rFonts w:ascii="Times New Roman" w:hAnsi="Times New Roman"/>
          <w:sz w:val="24"/>
          <w:szCs w:val="24"/>
        </w:rPr>
        <w:t>on</w:t>
      </w:r>
      <w:proofErr w:type="spellEnd"/>
      <w:r>
        <w:rPr>
          <w:rFonts w:ascii="Times New Roman" w:hAnsi="Times New Roman"/>
          <w:sz w:val="24"/>
          <w:szCs w:val="24"/>
        </w:rPr>
        <w:t xml:space="preserve"> the other side, or week after.  I.e., 2 weeks </w:t>
      </w:r>
      <w:proofErr w:type="gramStart"/>
      <w:r>
        <w:rPr>
          <w:rFonts w:ascii="Times New Roman" w:hAnsi="Times New Roman"/>
          <w:sz w:val="24"/>
          <w:szCs w:val="24"/>
        </w:rPr>
        <w:t>later trading</w:t>
      </w:r>
      <w:proofErr w:type="gramEnd"/>
      <w:r>
        <w:rPr>
          <w:rFonts w:ascii="Times New Roman" w:hAnsi="Times New Roman"/>
          <w:sz w:val="24"/>
          <w:szCs w:val="24"/>
        </w:rPr>
        <w:t xml:space="preserve"> at 50 cents on the dollar.  Certainly 6 months later.  </w:t>
      </w:r>
    </w:p>
    <w:p w:rsidR="000D25EF" w:rsidRDefault="000D25EF">
      <w:pPr>
        <w:rPr>
          <w:rFonts w:ascii="Times New Roman" w:hAnsi="Times New Roman"/>
          <w:sz w:val="24"/>
          <w:szCs w:val="24"/>
        </w:rPr>
      </w:pPr>
      <w:r>
        <w:rPr>
          <w:rFonts w:ascii="Times New Roman" w:hAnsi="Times New Roman"/>
          <w:sz w:val="24"/>
          <w:szCs w:val="24"/>
        </w:rPr>
        <w:t xml:space="preserve">The TABX – referenced a nasty pool of late 2006 mortgage (2007 CDOs).  </w:t>
      </w:r>
    </w:p>
    <w:p w:rsidR="000D25EF" w:rsidRDefault="000D25EF">
      <w:pPr>
        <w:rPr>
          <w:rFonts w:ascii="Times New Roman" w:hAnsi="Times New Roman"/>
          <w:sz w:val="24"/>
          <w:szCs w:val="24"/>
        </w:rPr>
      </w:pPr>
      <w:r>
        <w:rPr>
          <w:rFonts w:ascii="Times New Roman" w:hAnsi="Times New Roman"/>
          <w:sz w:val="24"/>
          <w:szCs w:val="24"/>
        </w:rPr>
        <w:t xml:space="preserve">Bear &amp; Deutsche didn’t believe the TABX decline impacted the marks on Cornwall’s trades.  </w:t>
      </w:r>
      <w:r w:rsidR="009A20FA">
        <w:rPr>
          <w:rFonts w:ascii="Times New Roman" w:hAnsi="Times New Roman"/>
          <w:sz w:val="24"/>
          <w:szCs w:val="24"/>
        </w:rPr>
        <w:t xml:space="preserve">(In other words, the TABX lost 50% in value, but Cornwall’s marks didn’t move.  Since both were re: subprime securities, Cornwall thought their marks should have moved in their favor after TABX.)  </w:t>
      </w:r>
      <w:r>
        <w:rPr>
          <w:rFonts w:ascii="Times New Roman" w:hAnsi="Times New Roman"/>
          <w:sz w:val="24"/>
          <w:szCs w:val="24"/>
        </w:rPr>
        <w:t xml:space="preserve">Even as late as May 2007, Bear didn’t think the TABX had anything to do with Cornwall’s 2004 and 2005 vintages.  </w:t>
      </w:r>
    </w:p>
    <w:p w:rsidR="00E05419" w:rsidRDefault="00E05419" w:rsidP="00E05419">
      <w:pPr>
        <w:rPr>
          <w:rFonts w:ascii="Times New Roman" w:hAnsi="Times New Roman"/>
          <w:sz w:val="24"/>
          <w:szCs w:val="24"/>
        </w:rPr>
      </w:pPr>
      <w:r>
        <w:rPr>
          <w:rFonts w:ascii="Times New Roman" w:hAnsi="Times New Roman"/>
          <w:sz w:val="24"/>
          <w:szCs w:val="24"/>
        </w:rPr>
        <w:t>Counter-arguments – the TABX is not really reflective, it references the ABX, which is only 18 securities.  [Ben forwarded me an email that he received from an investment banker with the counterarguments the banks were making.]</w:t>
      </w:r>
    </w:p>
    <w:p w:rsidR="000D25EF" w:rsidRDefault="001D5422">
      <w:pPr>
        <w:rPr>
          <w:rFonts w:ascii="Times New Roman" w:hAnsi="Times New Roman"/>
          <w:sz w:val="24"/>
          <w:szCs w:val="24"/>
        </w:rPr>
      </w:pPr>
      <w:proofErr w:type="gramStart"/>
      <w:r>
        <w:rPr>
          <w:rFonts w:ascii="Times New Roman" w:hAnsi="Times New Roman"/>
          <w:sz w:val="24"/>
          <w:szCs w:val="24"/>
        </w:rPr>
        <w:t xml:space="preserve">Feb. 26, 2007 – ACA – </w:t>
      </w:r>
      <w:proofErr w:type="spellStart"/>
      <w:r>
        <w:rPr>
          <w:rFonts w:ascii="Times New Roman" w:hAnsi="Times New Roman"/>
          <w:sz w:val="24"/>
          <w:szCs w:val="24"/>
        </w:rPr>
        <w:t>Roadshow</w:t>
      </w:r>
      <w:proofErr w:type="spellEnd"/>
      <w:r>
        <w:rPr>
          <w:rFonts w:ascii="Times New Roman" w:hAnsi="Times New Roman"/>
          <w:sz w:val="24"/>
          <w:szCs w:val="24"/>
        </w:rPr>
        <w:t xml:space="preserve"> presentation – 5 days after the TABX when they were marketing the deal.</w:t>
      </w:r>
      <w:proofErr w:type="gramEnd"/>
      <w:r>
        <w:rPr>
          <w:rFonts w:ascii="Times New Roman" w:hAnsi="Times New Roman"/>
          <w:sz w:val="24"/>
          <w:szCs w:val="24"/>
        </w:rPr>
        <w:t xml:space="preserve">  It didn’t close until March.</w:t>
      </w:r>
    </w:p>
    <w:p w:rsidR="006D4DEA" w:rsidRDefault="006D4DEA">
      <w:pPr>
        <w:rPr>
          <w:rFonts w:ascii="Times New Roman" w:hAnsi="Times New Roman"/>
          <w:sz w:val="24"/>
          <w:szCs w:val="24"/>
        </w:rPr>
      </w:pPr>
      <w:r>
        <w:rPr>
          <w:rFonts w:ascii="Times New Roman" w:hAnsi="Times New Roman"/>
          <w:sz w:val="24"/>
          <w:szCs w:val="24"/>
        </w:rPr>
        <w:t>Cornwall never picked the bonds that went into the securities it shorted.</w:t>
      </w:r>
    </w:p>
    <w:p w:rsidR="001D5422" w:rsidRDefault="00527F9D">
      <w:pPr>
        <w:rPr>
          <w:rFonts w:ascii="Times New Roman" w:hAnsi="Times New Roman"/>
          <w:sz w:val="24"/>
          <w:szCs w:val="24"/>
        </w:rPr>
      </w:pPr>
      <w:r>
        <w:rPr>
          <w:rFonts w:ascii="Times New Roman" w:hAnsi="Times New Roman"/>
          <w:sz w:val="24"/>
          <w:szCs w:val="24"/>
        </w:rPr>
        <w:t>*The causes of the financial crisis were set largely before February 2007.  If looking at suspicious behavior, look at February 2007-forward.</w:t>
      </w:r>
    </w:p>
    <w:p w:rsidR="001D5422" w:rsidRDefault="00603A4A">
      <w:pPr>
        <w:rPr>
          <w:rFonts w:ascii="Times New Roman" w:hAnsi="Times New Roman"/>
          <w:sz w:val="24"/>
          <w:szCs w:val="24"/>
        </w:rPr>
      </w:pPr>
      <w:r>
        <w:rPr>
          <w:rFonts w:ascii="Times New Roman" w:hAnsi="Times New Roman"/>
          <w:sz w:val="24"/>
          <w:szCs w:val="24"/>
        </w:rPr>
        <w:t xml:space="preserve">Cornwall met with the SEC in the spring of 2007.  Jamie will separately email the names of the people they met with.  The meeting related to what Cornwall saw as the root of the mess in structured finance – ratings agencies – abrogating the need for traditional price discovery and due diligence.  Also, ratings are baked into legislation and mandates of registered advisory firms.  There was a massive amount of gaming going on to meet mandates.  Rating agencies’ processes lacked integrity.  SEC shouldn’t let rating agencies masquerade as though they had imprimatur of a government agency.  The SEC’s response – they listened, were cordial, </w:t>
      </w:r>
      <w:r w:rsidR="001750F9">
        <w:rPr>
          <w:rFonts w:ascii="Times New Roman" w:hAnsi="Times New Roman"/>
          <w:sz w:val="24"/>
          <w:szCs w:val="24"/>
        </w:rPr>
        <w:t xml:space="preserve">and </w:t>
      </w:r>
      <w:r>
        <w:rPr>
          <w:rFonts w:ascii="Times New Roman" w:hAnsi="Times New Roman"/>
          <w:sz w:val="24"/>
          <w:szCs w:val="24"/>
        </w:rPr>
        <w:t xml:space="preserve">Cornwall never heard back from them.  </w:t>
      </w:r>
    </w:p>
    <w:p w:rsidR="00603A4A" w:rsidRDefault="00603A4A">
      <w:pPr>
        <w:rPr>
          <w:rFonts w:ascii="Times New Roman" w:hAnsi="Times New Roman"/>
          <w:sz w:val="24"/>
          <w:szCs w:val="24"/>
        </w:rPr>
      </w:pPr>
      <w:r>
        <w:rPr>
          <w:rFonts w:ascii="Times New Roman" w:hAnsi="Times New Roman"/>
          <w:sz w:val="24"/>
          <w:szCs w:val="24"/>
        </w:rPr>
        <w:t xml:space="preserve">Ben – </w:t>
      </w:r>
      <w:r w:rsidR="00C52AEB">
        <w:rPr>
          <w:rFonts w:ascii="Times New Roman" w:hAnsi="Times New Roman"/>
          <w:sz w:val="24"/>
          <w:szCs w:val="24"/>
        </w:rPr>
        <w:t xml:space="preserve">regarding derivatives:  Energy markets post-Enron – did a great thing in getting everything on an exchange.  (There’s a difference between </w:t>
      </w:r>
      <w:r w:rsidR="00C52AEB" w:rsidRPr="00C52AEB">
        <w:rPr>
          <w:rFonts w:ascii="Times New Roman" w:hAnsi="Times New Roman"/>
          <w:sz w:val="24"/>
          <w:szCs w:val="24"/>
          <w:u w:val="single"/>
        </w:rPr>
        <w:t>trading</w:t>
      </w:r>
      <w:r w:rsidR="00C52AEB">
        <w:rPr>
          <w:rFonts w:ascii="Times New Roman" w:hAnsi="Times New Roman"/>
          <w:sz w:val="24"/>
          <w:szCs w:val="24"/>
        </w:rPr>
        <w:t xml:space="preserve"> on an exchange and </w:t>
      </w:r>
      <w:r w:rsidR="00C52AEB" w:rsidRPr="00C52AEB">
        <w:rPr>
          <w:rFonts w:ascii="Times New Roman" w:hAnsi="Times New Roman"/>
          <w:sz w:val="24"/>
          <w:szCs w:val="24"/>
          <w:u w:val="single"/>
        </w:rPr>
        <w:t>clearing</w:t>
      </w:r>
      <w:r w:rsidR="00C52AEB">
        <w:rPr>
          <w:rFonts w:ascii="Times New Roman" w:hAnsi="Times New Roman"/>
          <w:sz w:val="24"/>
          <w:szCs w:val="24"/>
        </w:rPr>
        <w:t xml:space="preserve"> on an exchange.  Clearing shows what trades are happening and at what prices, but does not show who the counterparties to the trades are.)  It’s still an OTC market, but trades are posted on an exchange and don’t depend on liquidity on exchange.  People have told Ben this is a great blueprint, that the energy market is now much more transparent.</w:t>
      </w:r>
    </w:p>
    <w:p w:rsidR="00C52AEB" w:rsidRDefault="00C52AEB">
      <w:pPr>
        <w:rPr>
          <w:rFonts w:ascii="Times New Roman" w:hAnsi="Times New Roman"/>
          <w:sz w:val="24"/>
          <w:szCs w:val="24"/>
        </w:rPr>
      </w:pPr>
      <w:r>
        <w:rPr>
          <w:rFonts w:ascii="Times New Roman" w:hAnsi="Times New Roman"/>
          <w:sz w:val="24"/>
          <w:szCs w:val="24"/>
        </w:rPr>
        <w:t xml:space="preserve">If all CDS had been posted to an exchange (limits customization), the counterparty becomes the exchange, and there is no “too big to fail” unless the exchange fails.  The exchange could still fail, it’s funded by its members, but you would see it coming.  The aim is getting rid of the </w:t>
      </w:r>
      <w:r>
        <w:rPr>
          <w:rFonts w:ascii="Times New Roman" w:hAnsi="Times New Roman"/>
          <w:sz w:val="24"/>
          <w:szCs w:val="24"/>
        </w:rPr>
        <w:lastRenderedPageBreak/>
        <w:t>counterparty credit issue and TBTF risk.  (You may not need to go so far as to post the names of the parties on the trades.)</w:t>
      </w:r>
    </w:p>
    <w:p w:rsidR="00C52AEB" w:rsidRDefault="00C52AEB">
      <w:pPr>
        <w:rPr>
          <w:rFonts w:ascii="Times New Roman" w:hAnsi="Times New Roman"/>
          <w:sz w:val="24"/>
          <w:szCs w:val="24"/>
        </w:rPr>
      </w:pPr>
      <w:r>
        <w:rPr>
          <w:rFonts w:ascii="Times New Roman" w:hAnsi="Times New Roman"/>
          <w:sz w:val="24"/>
          <w:szCs w:val="24"/>
        </w:rPr>
        <w:t>D</w:t>
      </w:r>
      <w:r w:rsidR="001911C9">
        <w:rPr>
          <w:rFonts w:ascii="Times New Roman" w:hAnsi="Times New Roman"/>
          <w:sz w:val="24"/>
          <w:szCs w:val="24"/>
        </w:rPr>
        <w:t xml:space="preserve">epository </w:t>
      </w:r>
      <w:r>
        <w:rPr>
          <w:rFonts w:ascii="Times New Roman" w:hAnsi="Times New Roman"/>
          <w:sz w:val="24"/>
          <w:szCs w:val="24"/>
        </w:rPr>
        <w:t>T</w:t>
      </w:r>
      <w:r w:rsidR="001911C9">
        <w:rPr>
          <w:rFonts w:ascii="Times New Roman" w:hAnsi="Times New Roman"/>
          <w:sz w:val="24"/>
          <w:szCs w:val="24"/>
        </w:rPr>
        <w:t xml:space="preserve">rust and </w:t>
      </w:r>
      <w:r>
        <w:rPr>
          <w:rFonts w:ascii="Times New Roman" w:hAnsi="Times New Roman"/>
          <w:sz w:val="24"/>
          <w:szCs w:val="24"/>
        </w:rPr>
        <w:t>C</w:t>
      </w:r>
      <w:r w:rsidR="001911C9">
        <w:rPr>
          <w:rFonts w:ascii="Times New Roman" w:hAnsi="Times New Roman"/>
          <w:sz w:val="24"/>
          <w:szCs w:val="24"/>
        </w:rPr>
        <w:t xml:space="preserve">learing </w:t>
      </w:r>
      <w:r>
        <w:rPr>
          <w:rFonts w:ascii="Times New Roman" w:hAnsi="Times New Roman"/>
          <w:sz w:val="24"/>
          <w:szCs w:val="24"/>
        </w:rPr>
        <w:t>C</w:t>
      </w:r>
      <w:r w:rsidR="001911C9">
        <w:rPr>
          <w:rFonts w:ascii="Times New Roman" w:hAnsi="Times New Roman"/>
          <w:sz w:val="24"/>
          <w:szCs w:val="24"/>
        </w:rPr>
        <w:t>orporation (DTCC)</w:t>
      </w:r>
      <w:r>
        <w:rPr>
          <w:rFonts w:ascii="Times New Roman" w:hAnsi="Times New Roman"/>
          <w:sz w:val="24"/>
          <w:szCs w:val="24"/>
        </w:rPr>
        <w:t xml:space="preserve"> – undertook an aggregation process, different from an exchange or clearinghouse.</w:t>
      </w:r>
    </w:p>
    <w:p w:rsidR="00C52AEB" w:rsidRDefault="00C52AEB">
      <w:pPr>
        <w:rPr>
          <w:rFonts w:ascii="Times New Roman" w:hAnsi="Times New Roman"/>
          <w:sz w:val="24"/>
          <w:szCs w:val="24"/>
        </w:rPr>
      </w:pPr>
      <w:r>
        <w:rPr>
          <w:rFonts w:ascii="Times New Roman" w:hAnsi="Times New Roman"/>
          <w:sz w:val="24"/>
          <w:szCs w:val="24"/>
        </w:rPr>
        <w:t>Beyond this, the concept of trading derivatives on stuff that doesn’t exist – e.g., $1 trillion CDOs on $1 billion in assets – this is massive, hidden leverage.  Ben doesn’t know how to get at this – maybe to limit synthetic beyond notional.</w:t>
      </w:r>
    </w:p>
    <w:p w:rsidR="00C52AEB" w:rsidRDefault="009E47A1">
      <w:pPr>
        <w:rPr>
          <w:rFonts w:ascii="Times New Roman" w:hAnsi="Times New Roman"/>
          <w:sz w:val="24"/>
          <w:szCs w:val="24"/>
        </w:rPr>
      </w:pPr>
      <w:r>
        <w:rPr>
          <w:rFonts w:ascii="Times New Roman" w:hAnsi="Times New Roman"/>
          <w:sz w:val="24"/>
          <w:szCs w:val="24"/>
        </w:rPr>
        <w:t>Jamie – The whole construct of CDS – there is some social utility – but need to take a hard look, especially regarding the collateral aspect.  Without CDS, there would be no “too big to fail” – it’s 100% a function of CDS.  Not all CDS are bad, but eliminating them would eliminate the “too big to fail” problem.</w:t>
      </w:r>
    </w:p>
    <w:p w:rsidR="009E47A1" w:rsidRDefault="009E47A1">
      <w:pPr>
        <w:rPr>
          <w:rFonts w:ascii="Times New Roman" w:hAnsi="Times New Roman"/>
          <w:sz w:val="24"/>
          <w:szCs w:val="24"/>
        </w:rPr>
      </w:pPr>
      <w:r>
        <w:rPr>
          <w:rFonts w:ascii="Times New Roman" w:hAnsi="Times New Roman"/>
          <w:sz w:val="24"/>
          <w:szCs w:val="24"/>
        </w:rPr>
        <w:t>Cornwall has no interest in CDS going forward.  They lost faith in the integrity of the CDS market.</w:t>
      </w:r>
    </w:p>
    <w:p w:rsidR="009E47A1" w:rsidRDefault="009E47A1">
      <w:pPr>
        <w:rPr>
          <w:rFonts w:ascii="Times New Roman" w:hAnsi="Times New Roman"/>
          <w:sz w:val="24"/>
          <w:szCs w:val="24"/>
        </w:rPr>
      </w:pPr>
      <w:r>
        <w:rPr>
          <w:rFonts w:ascii="Times New Roman" w:hAnsi="Times New Roman"/>
          <w:sz w:val="24"/>
          <w:szCs w:val="24"/>
        </w:rPr>
        <w:t>They were also becoming an unsecured creditor of Bear Stearns</w:t>
      </w:r>
      <w:r w:rsidR="00326F6D">
        <w:rPr>
          <w:rFonts w:ascii="Times New Roman" w:hAnsi="Times New Roman"/>
          <w:sz w:val="24"/>
          <w:szCs w:val="24"/>
        </w:rPr>
        <w:t>, and closed out of most all of their trades in August 2007; the last in September 2007.  Cornwall had already made half the money they ever would have made on the positions.</w:t>
      </w:r>
    </w:p>
    <w:p w:rsidR="00326F6D" w:rsidRDefault="00326F6D">
      <w:pPr>
        <w:rPr>
          <w:rFonts w:ascii="Times New Roman" w:hAnsi="Times New Roman"/>
          <w:sz w:val="24"/>
          <w:szCs w:val="24"/>
        </w:rPr>
      </w:pPr>
      <w:r>
        <w:rPr>
          <w:rFonts w:ascii="Times New Roman" w:hAnsi="Times New Roman"/>
          <w:sz w:val="24"/>
          <w:szCs w:val="24"/>
        </w:rPr>
        <w:t>If the Fed or a government agency had stepped in during 2006-2007, and guaranteed all mortgages and disallowed prepayments, Cornwall would have lost a lot of money.  But there never would have been a credit crisis (other than a sovereign credit crisis).  This meant that there was some tail risk for Cornwall here</w:t>
      </w:r>
      <w:r w:rsidR="001750F9">
        <w:rPr>
          <w:rFonts w:ascii="Times New Roman" w:hAnsi="Times New Roman"/>
          <w:sz w:val="24"/>
          <w:szCs w:val="24"/>
        </w:rPr>
        <w:t>; they thought the government might do this</w:t>
      </w:r>
      <w:r>
        <w:rPr>
          <w:rFonts w:ascii="Times New Roman" w:hAnsi="Times New Roman"/>
          <w:sz w:val="24"/>
          <w:szCs w:val="24"/>
        </w:rPr>
        <w:t>.</w:t>
      </w:r>
    </w:p>
    <w:p w:rsidR="00326F6D" w:rsidRDefault="00326F6D">
      <w:pPr>
        <w:rPr>
          <w:rFonts w:ascii="Times New Roman" w:hAnsi="Times New Roman"/>
          <w:sz w:val="24"/>
          <w:szCs w:val="24"/>
        </w:rPr>
      </w:pPr>
      <w:r>
        <w:rPr>
          <w:rFonts w:ascii="Times New Roman" w:hAnsi="Times New Roman"/>
          <w:sz w:val="24"/>
          <w:szCs w:val="24"/>
        </w:rPr>
        <w:t>Jamie was surprised by the paucity of private rights of action, particularly to sue the rating agencies.  (They thought about forming a nonprofit to sue the rating agencies.)  You don’t solve the problem without fixing the credit rating agencies.  This is needed to restore integrity in the markets.  It’s unclear why you need them in the first place.  Or you could make the buyer of the bond pay for them (rather than the seller, which is the current set up).  Probably can’t get rid of them entirely, given that ratings are built into so many statutes and mandates.  Ben wonders if it would be possible to marry the rating agencies with the bond insurance companies, to make the rating agencies have skin in the game.</w:t>
      </w:r>
    </w:p>
    <w:p w:rsidR="00326F6D" w:rsidRDefault="002B0C5F">
      <w:pPr>
        <w:rPr>
          <w:rFonts w:ascii="Times New Roman" w:hAnsi="Times New Roman"/>
          <w:sz w:val="24"/>
          <w:szCs w:val="24"/>
        </w:rPr>
      </w:pPr>
      <w:r>
        <w:rPr>
          <w:rFonts w:ascii="Times New Roman" w:hAnsi="Times New Roman"/>
          <w:sz w:val="24"/>
          <w:szCs w:val="24"/>
        </w:rPr>
        <w:t xml:space="preserve">You have to have interests aligned, whether in transactions where the agent is actually the counterparty and not disclosing, or getting CDO bonuses on year one.  There is an incentive for </w:t>
      </w:r>
      <w:r w:rsidR="001E5C3E">
        <w:rPr>
          <w:rFonts w:ascii="Times New Roman" w:hAnsi="Times New Roman"/>
          <w:sz w:val="24"/>
          <w:szCs w:val="24"/>
        </w:rPr>
        <w:t xml:space="preserve">a </w:t>
      </w:r>
      <w:r>
        <w:rPr>
          <w:rFonts w:ascii="Times New Roman" w:hAnsi="Times New Roman"/>
          <w:sz w:val="24"/>
          <w:szCs w:val="24"/>
        </w:rPr>
        <w:t>rational person to take risk they’re ultimately not going to bear.</w:t>
      </w:r>
    </w:p>
    <w:p w:rsidR="00617FEB" w:rsidRDefault="002B0C5F">
      <w:pPr>
        <w:rPr>
          <w:rFonts w:ascii="Times New Roman" w:hAnsi="Times New Roman"/>
          <w:sz w:val="24"/>
          <w:szCs w:val="24"/>
        </w:rPr>
      </w:pPr>
      <w:r>
        <w:rPr>
          <w:rFonts w:ascii="Times New Roman" w:hAnsi="Times New Roman"/>
          <w:sz w:val="24"/>
          <w:szCs w:val="24"/>
        </w:rPr>
        <w:t>Same for risk capital being aligned with losses as well as gains – equity and bondholders – longer term the moral hazard is significant.</w:t>
      </w:r>
    </w:p>
    <w:p w:rsidR="00617FEB" w:rsidRDefault="00617FEB">
      <w:pPr>
        <w:rPr>
          <w:rFonts w:ascii="Times New Roman" w:hAnsi="Times New Roman"/>
          <w:sz w:val="24"/>
          <w:szCs w:val="24"/>
        </w:rPr>
      </w:pPr>
    </w:p>
    <w:p w:rsidR="00E01493" w:rsidRPr="00617FEB" w:rsidRDefault="00617FEB">
      <w:pPr>
        <w:rPr>
          <w:rFonts w:ascii="Times New Roman" w:hAnsi="Times New Roman"/>
          <w:sz w:val="16"/>
          <w:szCs w:val="24"/>
        </w:rPr>
      </w:pPr>
      <w:proofErr w:type="gramStart"/>
      <w:r w:rsidRPr="00617FEB">
        <w:rPr>
          <w:rFonts w:ascii="Times New Roman" w:hAnsi="Times New Roman"/>
          <w:sz w:val="16"/>
          <w:szCs w:val="24"/>
        </w:rPr>
        <w:lastRenderedPageBreak/>
        <w:t>4811-4264-4230, v.</w:t>
      </w:r>
      <w:proofErr w:type="gramEnd"/>
      <w:r w:rsidRPr="00617FEB">
        <w:rPr>
          <w:rFonts w:ascii="Times New Roman" w:hAnsi="Times New Roman"/>
          <w:sz w:val="16"/>
          <w:szCs w:val="24"/>
        </w:rPr>
        <w:t xml:space="preserve">  1</w:t>
      </w:r>
    </w:p>
    <w:sectPr w:rsidR="00E01493" w:rsidRPr="00617FEB" w:rsidSect="0041017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DB9" w:rsidRDefault="00B75DB9" w:rsidP="00617FEB">
      <w:pPr>
        <w:spacing w:after="0" w:line="240" w:lineRule="auto"/>
      </w:pPr>
      <w:r>
        <w:separator/>
      </w:r>
    </w:p>
  </w:endnote>
  <w:endnote w:type="continuationSeparator" w:id="0">
    <w:p w:rsidR="00B75DB9" w:rsidRDefault="00B75DB9" w:rsidP="00617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90190844"/>
      <w:docPartObj>
        <w:docPartGallery w:val="Page Numbers (Bottom of Page)"/>
        <w:docPartUnique/>
      </w:docPartObj>
    </w:sdtPr>
    <w:sdtContent>
      <w:p w:rsidR="006B1E89" w:rsidRPr="00476D23" w:rsidRDefault="008D36D2">
        <w:pPr>
          <w:pStyle w:val="Footer"/>
          <w:jc w:val="center"/>
          <w:rPr>
            <w:rFonts w:ascii="Times New Roman" w:hAnsi="Times New Roman"/>
            <w:sz w:val="24"/>
            <w:szCs w:val="24"/>
          </w:rPr>
        </w:pPr>
        <w:r w:rsidRPr="00476D23">
          <w:rPr>
            <w:rFonts w:ascii="Times New Roman" w:hAnsi="Times New Roman"/>
            <w:sz w:val="24"/>
            <w:szCs w:val="24"/>
          </w:rPr>
          <w:fldChar w:fldCharType="begin"/>
        </w:r>
        <w:r w:rsidR="006B1E89" w:rsidRPr="00476D23">
          <w:rPr>
            <w:rFonts w:ascii="Times New Roman" w:hAnsi="Times New Roman"/>
            <w:sz w:val="24"/>
            <w:szCs w:val="24"/>
          </w:rPr>
          <w:instrText xml:space="preserve"> PAGE   \* MERGEFORMAT </w:instrText>
        </w:r>
        <w:r w:rsidRPr="00476D23">
          <w:rPr>
            <w:rFonts w:ascii="Times New Roman" w:hAnsi="Times New Roman"/>
            <w:sz w:val="24"/>
            <w:szCs w:val="24"/>
          </w:rPr>
          <w:fldChar w:fldCharType="separate"/>
        </w:r>
        <w:r w:rsidR="00C12594">
          <w:rPr>
            <w:rFonts w:ascii="Times New Roman" w:hAnsi="Times New Roman"/>
            <w:noProof/>
            <w:sz w:val="24"/>
            <w:szCs w:val="24"/>
          </w:rPr>
          <w:t>8</w:t>
        </w:r>
        <w:r w:rsidRPr="00476D23">
          <w:rPr>
            <w:rFonts w:ascii="Times New Roman" w:hAnsi="Times New Roman"/>
            <w:sz w:val="24"/>
            <w:szCs w:val="24"/>
          </w:rPr>
          <w:fldChar w:fldCharType="end"/>
        </w:r>
      </w:p>
    </w:sdtContent>
  </w:sdt>
  <w:p w:rsidR="006B1E89" w:rsidRDefault="006B1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DB9" w:rsidRDefault="00B75DB9" w:rsidP="00617FEB">
      <w:pPr>
        <w:spacing w:after="0" w:line="240" w:lineRule="auto"/>
      </w:pPr>
      <w:r>
        <w:separator/>
      </w:r>
    </w:p>
  </w:footnote>
  <w:footnote w:type="continuationSeparator" w:id="0">
    <w:p w:rsidR="00B75DB9" w:rsidRDefault="00B75DB9" w:rsidP="00617FEB">
      <w:pPr>
        <w:spacing w:after="0" w:line="240" w:lineRule="auto"/>
      </w:pPr>
      <w:r>
        <w:continuationSeparator/>
      </w:r>
    </w:p>
  </w:footnote>
  <w:footnote w:id="1">
    <w:p w:rsidR="006B1E89" w:rsidRPr="00455DC3" w:rsidRDefault="006B1E89">
      <w:pPr>
        <w:pStyle w:val="FootnoteText"/>
        <w:rPr>
          <w:rFonts w:ascii="Times New Roman" w:hAnsi="Times New Roman"/>
        </w:rPr>
      </w:pPr>
      <w:r w:rsidRPr="00455DC3">
        <w:rPr>
          <w:rStyle w:val="FootnoteReference"/>
          <w:rFonts w:ascii="Times New Roman" w:hAnsi="Times New Roman"/>
        </w:rPr>
        <w:footnoteRef/>
      </w:r>
      <w:r w:rsidRPr="00455DC3">
        <w:rPr>
          <w:rFonts w:ascii="Times New Roman" w:hAnsi="Times New Roman"/>
        </w:rPr>
        <w:t xml:space="preserve"> Charlie Ledley was with Cornwall Capital until </w:t>
      </w:r>
      <w:proofErr w:type="gramStart"/>
      <w:r w:rsidRPr="00455DC3">
        <w:rPr>
          <w:rFonts w:ascii="Times New Roman" w:hAnsi="Times New Roman"/>
        </w:rPr>
        <w:t>Spring</w:t>
      </w:r>
      <w:proofErr w:type="gramEnd"/>
      <w:r w:rsidRPr="00455DC3">
        <w:rPr>
          <w:rFonts w:ascii="Times New Roman" w:hAnsi="Times New Roman"/>
        </w:rPr>
        <w:t xml:space="preserve"> 2010.</w:t>
      </w:r>
    </w:p>
  </w:footnote>
  <w:footnote w:id="2">
    <w:p w:rsidR="006B1E89" w:rsidRPr="00CA51BD" w:rsidRDefault="006B1E89">
      <w:pPr>
        <w:pStyle w:val="FootnoteText"/>
        <w:rPr>
          <w:rFonts w:ascii="Times New Roman" w:hAnsi="Times New Roman"/>
        </w:rPr>
      </w:pPr>
      <w:r w:rsidRPr="00CA51BD">
        <w:rPr>
          <w:rStyle w:val="FootnoteReference"/>
          <w:rFonts w:ascii="Times New Roman" w:hAnsi="Times New Roman"/>
        </w:rPr>
        <w:footnoteRef/>
      </w:r>
      <w:r w:rsidRPr="00CA51BD">
        <w:rPr>
          <w:rFonts w:ascii="Times New Roman" w:hAnsi="Times New Roman"/>
        </w:rPr>
        <w:t xml:space="preserve"> According to </w:t>
      </w:r>
      <w:proofErr w:type="spellStart"/>
      <w:r w:rsidRPr="00CA51BD">
        <w:rPr>
          <w:rFonts w:ascii="Times New Roman" w:hAnsi="Times New Roman"/>
        </w:rPr>
        <w:t>Investopedia</w:t>
      </w:r>
      <w:proofErr w:type="spellEnd"/>
      <w:r w:rsidRPr="00CA51BD">
        <w:rPr>
          <w:rFonts w:ascii="Times New Roman" w:hAnsi="Times New Roman"/>
        </w:rPr>
        <w:t>, BWIC stands for “Bid Wanted in Competition.”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1493"/>
    <w:rsid w:val="00012C8D"/>
    <w:rsid w:val="000139A6"/>
    <w:rsid w:val="00017C55"/>
    <w:rsid w:val="00025B5A"/>
    <w:rsid w:val="000D25EF"/>
    <w:rsid w:val="000D3DC0"/>
    <w:rsid w:val="001750F9"/>
    <w:rsid w:val="001911C9"/>
    <w:rsid w:val="001D5422"/>
    <w:rsid w:val="001E2311"/>
    <w:rsid w:val="001E5C3E"/>
    <w:rsid w:val="00207396"/>
    <w:rsid w:val="00207D5C"/>
    <w:rsid w:val="00256C48"/>
    <w:rsid w:val="002B0C5F"/>
    <w:rsid w:val="002D3ABB"/>
    <w:rsid w:val="003102AA"/>
    <w:rsid w:val="00314748"/>
    <w:rsid w:val="00326F6D"/>
    <w:rsid w:val="003C5793"/>
    <w:rsid w:val="00410172"/>
    <w:rsid w:val="00455DC3"/>
    <w:rsid w:val="0046395D"/>
    <w:rsid w:val="00476D23"/>
    <w:rsid w:val="004B4AF9"/>
    <w:rsid w:val="0050059B"/>
    <w:rsid w:val="00527F9D"/>
    <w:rsid w:val="00551230"/>
    <w:rsid w:val="00564EDA"/>
    <w:rsid w:val="00581F2A"/>
    <w:rsid w:val="005F129B"/>
    <w:rsid w:val="00603A4A"/>
    <w:rsid w:val="00617FEB"/>
    <w:rsid w:val="006B1E89"/>
    <w:rsid w:val="006D4DEA"/>
    <w:rsid w:val="006F11CC"/>
    <w:rsid w:val="007135E8"/>
    <w:rsid w:val="007658EA"/>
    <w:rsid w:val="00781D45"/>
    <w:rsid w:val="00792AA8"/>
    <w:rsid w:val="007B6222"/>
    <w:rsid w:val="00826D25"/>
    <w:rsid w:val="008C4E9C"/>
    <w:rsid w:val="008D36D2"/>
    <w:rsid w:val="009A20FA"/>
    <w:rsid w:val="009E47A1"/>
    <w:rsid w:val="009F145C"/>
    <w:rsid w:val="00A032B3"/>
    <w:rsid w:val="00A12909"/>
    <w:rsid w:val="00A142CD"/>
    <w:rsid w:val="00AE332A"/>
    <w:rsid w:val="00B75DB9"/>
    <w:rsid w:val="00B774F8"/>
    <w:rsid w:val="00C12594"/>
    <w:rsid w:val="00C51199"/>
    <w:rsid w:val="00C52AEB"/>
    <w:rsid w:val="00C70587"/>
    <w:rsid w:val="00C73ED6"/>
    <w:rsid w:val="00CA51BD"/>
    <w:rsid w:val="00D92EA1"/>
    <w:rsid w:val="00DB0825"/>
    <w:rsid w:val="00DB2CA6"/>
    <w:rsid w:val="00DE680D"/>
    <w:rsid w:val="00E01493"/>
    <w:rsid w:val="00E05419"/>
    <w:rsid w:val="00E10981"/>
    <w:rsid w:val="00E93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7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FE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17FEB"/>
    <w:rPr>
      <w:vertAlign w:val="superscript"/>
    </w:rPr>
  </w:style>
  <w:style w:type="paragraph" w:styleId="Header">
    <w:name w:val="header"/>
    <w:basedOn w:val="Normal"/>
    <w:link w:val="HeaderChar"/>
    <w:uiPriority w:val="99"/>
    <w:semiHidden/>
    <w:unhideWhenUsed/>
    <w:rsid w:val="00476D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6D23"/>
    <w:rPr>
      <w:rFonts w:ascii="Calibri" w:eastAsia="Calibri" w:hAnsi="Calibri" w:cs="Times New Roman"/>
    </w:rPr>
  </w:style>
  <w:style w:type="paragraph" w:styleId="Footer">
    <w:name w:val="footer"/>
    <w:basedOn w:val="Normal"/>
    <w:link w:val="FooterChar"/>
    <w:uiPriority w:val="99"/>
    <w:unhideWhenUsed/>
    <w:rsid w:val="0047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D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664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2832-B4EA-4356-99D3-72131308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smandel</cp:lastModifiedBy>
  <cp:revision>54</cp:revision>
  <dcterms:created xsi:type="dcterms:W3CDTF">2010-04-27T14:25:00Z</dcterms:created>
  <dcterms:modified xsi:type="dcterms:W3CDTF">2010-12-03T16:29:00Z</dcterms:modified>
</cp:coreProperties>
</file>